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b/>
        </w:rPr>
      </w:pPr>
      <w:r>
        <w:rPr>
          <w:b/>
        </w:rPr>
        <w:t xml:space="preserve">                                                                                 </w:t>
      </w:r>
    </w:p>
    <w:tbl>
      <w:tblPr>
        <w:tblpPr w:vertAnchor="page" w:horzAnchor="margin" w:tblpXSpec="center" w:leftFromText="180" w:rightFromText="180" w:tblpY="745"/>
        <w:tblW w:w="1314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53"/>
        <w:gridCol w:w="7796"/>
      </w:tblGrid>
      <w:tr>
        <w:trPr>
          <w:trHeight w:val="1135" w:hRule="atLeast"/>
        </w:trPr>
        <w:tc>
          <w:tcPr>
            <w:tcW w:w="5353" w:type="dxa"/>
            <w:tcBorders/>
          </w:tcPr>
          <w:p>
            <w:pPr>
              <w:pStyle w:val="Normal"/>
              <w:snapToGrid w:val="false"/>
              <w:ind w:firstLine="851" w:end="0"/>
              <w:rPr/>
            </w:pPr>
            <w:r>
              <w:rPr/>
            </w:r>
          </w:p>
        </w:tc>
        <w:tc>
          <w:tcPr>
            <w:tcW w:w="7796" w:type="dxa"/>
            <w:tcBorders/>
          </w:tcPr>
          <w:p>
            <w:pPr>
              <w:pStyle w:val="HTML1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left" w:pos="-117" w:leader="none"/>
                <w:tab w:val="left" w:pos="6412" w:leader="none"/>
                <w:tab w:val="left" w:pos="6516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ind w:start="2302" w:end="0"/>
              <w:jc w:val="end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УТВЕРЖДАЮ</w:t>
            </w:r>
          </w:p>
          <w:p>
            <w:pPr>
              <w:pStyle w:val="Normal"/>
              <w:jc w:val="end"/>
              <w:rPr/>
            </w:pPr>
            <w:r>
              <w:rPr/>
              <w:t xml:space="preserve">Генеральный директор АО «НПК «Дедал» </w:t>
            </w:r>
          </w:p>
          <w:p>
            <w:pPr>
              <w:pStyle w:val="Normal"/>
              <w:jc w:val="end"/>
              <w:rPr/>
            </w:pPr>
            <w:r>
              <w:rPr/>
              <w:t xml:space="preserve">________________Пименов Д.М.      </w:t>
            </w:r>
          </w:p>
          <w:p>
            <w:pPr>
              <w:pStyle w:val="HTML1"/>
              <w:tabs>
                <w:tab w:val="clear" w:pos="916"/>
                <w:tab w:val="clear" w:pos="2748"/>
                <w:tab w:val="clear" w:pos="3664"/>
                <w:tab w:val="clear" w:pos="4580"/>
                <w:tab w:val="clear" w:pos="5496"/>
                <w:tab w:val="left" w:pos="1168" w:leader="none"/>
                <w:tab w:val="left" w:pos="1832" w:leader="none"/>
                <w:tab w:val="left" w:pos="2019" w:leader="none"/>
                <w:tab w:val="left" w:pos="6412" w:leader="none"/>
                <w:tab w:val="left" w:pos="6516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jc w:val="end"/>
              <w:rPr/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«15» декабря 2025 года</w:t>
            </w:r>
          </w:p>
        </w:tc>
      </w:tr>
    </w:tbl>
    <w:p>
      <w:pPr>
        <w:pStyle w:val="Normal"/>
        <w:ind w:firstLine="567" w:end="481"/>
        <w:jc w:val="center"/>
        <w:rPr>
          <w:b/>
          <w:bCs/>
          <w:kern w:val="2"/>
        </w:rPr>
      </w:pPr>
      <w:r>
        <w:rPr>
          <w:b/>
          <w:bCs/>
          <w:kern w:val="2"/>
        </w:rPr>
      </w:r>
    </w:p>
    <w:p>
      <w:pPr>
        <w:pStyle w:val="Style21"/>
        <w:jc w:val="center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Style21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Style21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Аналитическая записка к закупке</w:t>
      </w:r>
    </w:p>
    <w:p>
      <w:pPr>
        <w:pStyle w:val="Style21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на аренду земельного участка площадью 34 429 кв.м с кадастровым номером 50:40:0010201:452, находящегося на территории особой экономической зоны технико-внедренческого типа.</w:t>
      </w:r>
    </w:p>
    <w:p>
      <w:pPr>
        <w:pStyle w:val="Normal"/>
        <w:tabs>
          <w:tab w:val="clear" w:pos="708"/>
          <w:tab w:val="left" w:pos="-284" w:leader="none"/>
        </w:tabs>
        <w:ind w:start="-284" w:end="481"/>
        <w:jc w:val="both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cs="Times New Roman"/>
          <w:b/>
          <w:bCs/>
          <w:kern w:val="2"/>
          <w:sz w:val="24"/>
          <w:szCs w:val="24"/>
        </w:rPr>
      </w:r>
    </w:p>
    <w:p>
      <w:pPr>
        <w:pStyle w:val="Normal"/>
        <w:tabs>
          <w:tab w:val="clear" w:pos="708"/>
          <w:tab w:val="left" w:pos="-284" w:leader="none"/>
        </w:tabs>
        <w:ind w:start="-284" w:end="481"/>
        <w:jc w:val="both"/>
        <w:rPr>
          <w:bCs/>
          <w:kern w:val="2"/>
        </w:rPr>
      </w:pPr>
      <w:r>
        <w:rPr>
          <w:bCs/>
          <w:kern w:val="2"/>
        </w:rPr>
        <w:t xml:space="preserve">1. Заказчик: </w:t>
      </w:r>
      <w:r>
        <w:rPr/>
        <w:t>АО «НПК «Дедал».</w:t>
      </w:r>
    </w:p>
    <w:p>
      <w:pPr>
        <w:pStyle w:val="Normal"/>
        <w:tabs>
          <w:tab w:val="clear" w:pos="708"/>
          <w:tab w:val="left" w:pos="-284" w:leader="none"/>
          <w:tab w:val="left" w:pos="15360" w:leader="none"/>
        </w:tabs>
        <w:ind w:start="-284" w:end="481"/>
        <w:jc w:val="both"/>
        <w:rPr>
          <w:bCs/>
          <w:kern w:val="2"/>
        </w:rPr>
      </w:pPr>
      <w:r>
        <w:rPr>
          <w:bCs/>
          <w:kern w:val="2"/>
        </w:rPr>
        <w:t>2. Обоснование проведения мелкой закупки (в соответствии с п./п. 1 а) п.1 статьи 4.2.2 ЕОСЗ ГК «Росатом»): закупки, стоимостью до 2 млн. руб. с НДС (включительно) для любых видов продукции.</w:t>
      </w:r>
    </w:p>
    <w:p>
      <w:pPr>
        <w:pStyle w:val="Normal"/>
        <w:tabs>
          <w:tab w:val="clear" w:pos="708"/>
          <w:tab w:val="left" w:pos="-284" w:leader="none"/>
          <w:tab w:val="left" w:pos="15360" w:leader="none"/>
        </w:tabs>
        <w:ind w:start="-284" w:end="481"/>
        <w:jc w:val="both"/>
        <w:rPr>
          <w:bCs/>
          <w:color w:val="FF0000"/>
          <w:kern w:val="2"/>
        </w:rPr>
      </w:pPr>
      <w:r>
        <w:rPr>
          <w:bCs/>
          <w:kern w:val="2"/>
        </w:rPr>
        <w:t xml:space="preserve">3. Начальная (максимальная) цена: </w:t>
      </w:r>
      <w:bookmarkStart w:id="0" w:name="_Hlk216444057"/>
      <w:r>
        <w:rPr>
          <w:bCs/>
          <w:kern w:val="2"/>
        </w:rPr>
        <w:t>882 495 (Восемьсот восемьдесят две тысячи четыреста девяносто пять) рублей 54 копейки, без учета НДС</w:t>
      </w:r>
      <w:bookmarkEnd w:id="0"/>
      <w:r>
        <w:rPr>
          <w:bCs/>
          <w:kern w:val="2"/>
        </w:rPr>
        <w:t>.</w:t>
      </w:r>
    </w:p>
    <w:p>
      <w:pPr>
        <w:pStyle w:val="Normal"/>
        <w:tabs>
          <w:tab w:val="clear" w:pos="708"/>
          <w:tab w:val="left" w:pos="-284" w:leader="none"/>
        </w:tabs>
        <w:ind w:start="-284" w:end="481"/>
        <w:jc w:val="both"/>
        <w:rPr>
          <w:bCs/>
          <w:kern w:val="2"/>
        </w:rPr>
      </w:pPr>
      <w:r>
        <w:rPr>
          <w:bCs/>
          <w:kern w:val="2"/>
        </w:rPr>
        <w:t>4. Сравнение предложений исполнителей:</w:t>
      </w:r>
    </w:p>
    <w:tbl>
      <w:tblPr>
        <w:tblW w:w="14743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3"/>
        <w:gridCol w:w="4678"/>
        <w:gridCol w:w="8363"/>
        <w:gridCol w:w="709"/>
      </w:tblGrid>
      <w:tr>
        <w:trPr>
          <w:trHeight w:val="70" w:hRule="atLeast"/>
        </w:trPr>
        <w:tc>
          <w:tcPr>
            <w:tcW w:w="9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0" w:end="0"/>
              <w:jc w:val="center"/>
              <w:rPr/>
            </w:pPr>
            <w:r>
              <w:rPr/>
              <w:t xml:space="preserve">№ </w:t>
            </w:r>
            <w:r>
              <w:rPr/>
              <w:t>п/п</w:t>
            </w:r>
          </w:p>
        </w:tc>
        <w:tc>
          <w:tcPr>
            <w:tcW w:w="467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Основные условия предложения исполнителя</w:t>
            </w:r>
          </w:p>
        </w:tc>
        <w:tc>
          <w:tcPr>
            <w:tcW w:w="8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113" w:end="175"/>
              <w:jc w:val="center"/>
              <w:rPr/>
            </w:pPr>
            <w:r>
              <w:rPr/>
              <w:t>Описание предложений исполнителей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ind w:start="113" w:end="175"/>
              <w:jc w:val="center"/>
              <w:rPr/>
            </w:pPr>
            <w:r>
              <w:rPr/>
              <w:t>Примечание</w:t>
            </w:r>
          </w:p>
        </w:tc>
      </w:tr>
      <w:tr>
        <w:trPr>
          <w:trHeight w:val="711" w:hRule="atLeast"/>
          <w:cantSplit w:val="true"/>
        </w:trPr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hanging="20" w:end="0"/>
              <w:jc w:val="center"/>
              <w:rPr/>
            </w:pPr>
            <w:r>
              <w:rPr/>
            </w:r>
          </w:p>
        </w:tc>
        <w:tc>
          <w:tcPr>
            <w:tcW w:w="467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АТКП № 241491</w:t>
            </w:r>
          </w:p>
        </w:tc>
        <w:tc>
          <w:tcPr>
            <w:tcW w:w="7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181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>
        <w:trPr>
          <w:trHeight w:val="416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1.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Предлагаемая услуга</w:t>
            </w:r>
          </w:p>
        </w:tc>
        <w:tc>
          <w:tcPr>
            <w:tcW w:w="83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33" w:leader="none"/>
              </w:tabs>
              <w:jc w:val="both"/>
              <w:rPr>
                <w:i/>
                <w:i/>
                <w:highlight w:val="yellow"/>
              </w:rPr>
            </w:pPr>
            <w:r>
              <w:rPr/>
              <w:t>Аренда земельного участка площадью 34 429 кв.м с кадастровым номером 50:40:0010201:452, находящегося на территории особой экономической зоны технико-внедренческого типа.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33" w:leader="none"/>
              </w:tabs>
              <w:snapToGrid w:val="false"/>
              <w:jc w:val="both"/>
              <w:rPr>
                <w:i/>
                <w:i/>
                <w:highlight w:val="yellow"/>
              </w:rPr>
            </w:pPr>
            <w:r>
              <w:rPr>
                <w:i/>
                <w:highlight w:val="yellow"/>
              </w:rPr>
            </w:r>
          </w:p>
        </w:tc>
      </w:tr>
      <w:tr>
        <w:trPr>
          <w:trHeight w:val="511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2.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Количество предлагаемой услуги</w:t>
            </w:r>
          </w:p>
        </w:tc>
        <w:tc>
          <w:tcPr>
            <w:tcW w:w="83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60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3.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Характеристики предлагаемой услуги</w:t>
            </w:r>
          </w:p>
        </w:tc>
        <w:tc>
          <w:tcPr>
            <w:tcW w:w="8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57" w:before="0" w:after="160"/>
              <w:rPr/>
            </w:pPr>
            <w:r>
              <w:rPr/>
              <w:t xml:space="preserve">В соответствии с проектом договора                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4.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Вывод о соответствии предлагаемой услуги установленным требованиям</w:t>
            </w:r>
          </w:p>
        </w:tc>
        <w:tc>
          <w:tcPr>
            <w:tcW w:w="8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Услуги соответствуют заявленному качеству, количеству и техническим характеристикам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5.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Цена предложения:</w:t>
            </w:r>
          </w:p>
        </w:tc>
        <w:tc>
          <w:tcPr>
            <w:tcW w:w="8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Cs/>
                <w:kern w:val="2"/>
              </w:rPr>
              <w:t>882 495 (Восемьсот восемьдесят две тысячи четыреста девяносто пять) рублей 54 копейки, без учета НДС.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6.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Условия исполнения договора:</w:t>
            </w:r>
          </w:p>
        </w:tc>
        <w:tc>
          <w:tcPr>
            <w:tcW w:w="8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-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6.1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Условия оказания услуг</w:t>
            </w:r>
          </w:p>
        </w:tc>
        <w:tc>
          <w:tcPr>
            <w:tcW w:w="8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Cs/>
                <w:kern w:val="2"/>
              </w:rPr>
            </w:pPr>
            <w:r>
              <w:rPr>
                <w:bCs/>
                <w:kern w:val="2"/>
              </w:rPr>
              <w:t>В соответствии с проектом договора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6.2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Место оказания услуг</w:t>
            </w:r>
          </w:p>
        </w:tc>
        <w:tc>
          <w:tcPr>
            <w:tcW w:w="8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62" w:leader="none"/>
              </w:tabs>
              <w:rPr>
                <w:color w:val="FF0000"/>
              </w:rPr>
            </w:pPr>
            <w:r>
              <w:rPr>
                <w:bCs/>
                <w:kern w:val="2"/>
              </w:rPr>
              <w:t>земельный участок с кадастровым номером 50:40:0010201:452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olor w:val="FF0000"/>
              </w:rPr>
            </w:pPr>
            <w:r>
              <w:rPr>
                <w:color w:val="FF0000"/>
              </w:rPr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6.3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Форма, срок и порядок оплаты</w:t>
            </w:r>
          </w:p>
        </w:tc>
        <w:tc>
          <w:tcPr>
            <w:tcW w:w="8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Cs/>
                <w:kern w:val="2"/>
              </w:rPr>
            </w:pPr>
            <w:r>
              <w:rPr>
                <w:bCs/>
                <w:kern w:val="2"/>
              </w:rPr>
              <w:t>В соответствии с проектом договора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6.4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Срок оказания услуг </w:t>
            </w:r>
          </w:p>
        </w:tc>
        <w:tc>
          <w:tcPr>
            <w:tcW w:w="8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color w:val="FF0000"/>
              </w:rPr>
            </w:pPr>
            <w:r>
              <w:rPr>
                <w:bCs/>
                <w:kern w:val="2"/>
              </w:rPr>
              <w:t>договор вступает в силу с 01 января 2026 года и заключен сроком до 31 декабря 2028 года включительно.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olor w:val="FF0000"/>
              </w:rPr>
            </w:pPr>
            <w:r>
              <w:rPr>
                <w:color w:val="FF0000"/>
              </w:rPr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6.5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Сроки и объем гарантийных обязательств</w:t>
            </w:r>
          </w:p>
        </w:tc>
        <w:tc>
          <w:tcPr>
            <w:tcW w:w="8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FF0000"/>
              </w:rPr>
            </w:pPr>
            <w:r>
              <w:rPr/>
              <w:t>-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olor w:val="FF0000"/>
              </w:rPr>
            </w:pPr>
            <w:r>
              <w:rPr>
                <w:color w:val="FF0000"/>
              </w:rPr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6.6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Иные условия исполнения договора</w:t>
            </w:r>
          </w:p>
        </w:tc>
        <w:tc>
          <w:tcPr>
            <w:tcW w:w="8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-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7.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Вывод о соответствии предложения исполнителя существенным условиям проекта договора</w:t>
            </w:r>
          </w:p>
        </w:tc>
        <w:tc>
          <w:tcPr>
            <w:tcW w:w="8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Соответствует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70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8.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i/>
                <w:i/>
              </w:rPr>
            </w:pPr>
            <w:r>
              <w:rPr/>
              <w:t>Соответствие исполнителя предъявляемым требованиям (критериям отбора)</w:t>
            </w:r>
            <w:r>
              <w:rPr>
                <w:i/>
              </w:rPr>
              <w:t xml:space="preserve">, </w:t>
            </w:r>
          </w:p>
          <w:p>
            <w:pPr>
              <w:pStyle w:val="Normal"/>
              <w:rPr>
                <w:i/>
                <w:i/>
              </w:rPr>
            </w:pPr>
            <w:r>
              <w:rPr>
                <w:i/>
              </w:rPr>
              <w:t>в том числе:</w:t>
            </w:r>
          </w:p>
          <w:p>
            <w:pPr>
              <w:pStyle w:val="Normal"/>
              <w:rPr>
                <w:i/>
                <w:i/>
              </w:rPr>
            </w:pPr>
            <w:r>
              <w:rPr>
                <w:i/>
              </w:rPr>
              <w:t>- наличие гражданской правоспособности в полном объеме для заключения и исполнения договора;</w:t>
            </w:r>
          </w:p>
          <w:p>
            <w:pPr>
              <w:pStyle w:val="Normal"/>
              <w:rPr/>
            </w:pPr>
            <w:r>
              <w:rPr>
                <w:i/>
              </w:rPr>
              <w:t>- наличие необходимых лицензий, разрешений, допусков на выполнение определенных видов работ, оказания услуг;</w:t>
            </w:r>
          </w:p>
          <w:p>
            <w:pPr>
              <w:pStyle w:val="Normal"/>
              <w:rPr/>
            </w:pPr>
            <w:r>
              <w:rPr>
                <w:i/>
              </w:rPr>
              <w:t>- наличие необходимых профессиональных знаний, опыта выполнения работ, оказания услуг;</w:t>
            </w:r>
          </w:p>
          <w:p>
            <w:pPr>
              <w:pStyle w:val="Normal"/>
              <w:rPr>
                <w:i/>
                <w:i/>
              </w:rPr>
            </w:pPr>
            <w:r>
              <w:rPr>
                <w:i/>
              </w:rPr>
              <w:t>- наличие кадровых и материальных ресурсов для исполнения договора;</w:t>
            </w:r>
          </w:p>
          <w:p>
            <w:pPr>
              <w:pStyle w:val="Normal"/>
              <w:rPr>
                <w:i/>
                <w:i/>
              </w:rPr>
            </w:pPr>
            <w:r>
              <w:rPr>
                <w:i/>
              </w:rPr>
              <w:t>- и т.д.</w:t>
            </w:r>
          </w:p>
        </w:tc>
        <w:tc>
          <w:tcPr>
            <w:tcW w:w="8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Соответствует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70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9.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Критерии оценки исполнителей:</w:t>
            </w:r>
          </w:p>
        </w:tc>
        <w:tc>
          <w:tcPr>
            <w:tcW w:w="8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Цена 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70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9.1.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Цена</w:t>
            </w:r>
          </w:p>
        </w:tc>
        <w:tc>
          <w:tcPr>
            <w:tcW w:w="8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FF0000"/>
                <w:highlight w:val="yellow"/>
              </w:rPr>
            </w:pPr>
            <w:r>
              <w:rPr>
                <w:bCs/>
                <w:kern w:val="2"/>
              </w:rPr>
              <w:t>882 495,54 (Восемьсот восемьдесят две тысячи четыреста девяносто пять) рублей 54 копейки, без учета НДС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olor w:val="FF0000"/>
                <w:highlight w:val="yellow"/>
              </w:rPr>
            </w:pPr>
            <w:r>
              <w:rPr>
                <w:color w:val="FF0000"/>
                <w:highlight w:val="yellow"/>
              </w:rPr>
            </w:r>
          </w:p>
        </w:tc>
      </w:tr>
      <w:tr>
        <w:trPr>
          <w:trHeight w:val="70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10.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ИТОГОВАЯ ОЦЕНКА</w:t>
            </w:r>
          </w:p>
        </w:tc>
        <w:tc>
          <w:tcPr>
            <w:tcW w:w="8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bCs/>
                <w:kern w:val="2"/>
              </w:rPr>
              <w:t>882 495,54 (Восемьсот восемьдесят две тысячи четыреста девяносто пять) рублей 54 копейки, без учета НДС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</w:tr>
    </w:tbl>
    <w:p>
      <w:pPr>
        <w:pStyle w:val="Normal"/>
        <w:ind w:start="-284" w:end="300"/>
        <w:jc w:val="both"/>
        <w:rPr>
          <w:b/>
          <w:bCs/>
          <w:kern w:val="2"/>
        </w:rPr>
      </w:pPr>
      <w:r>
        <w:rPr>
          <w:b/>
          <w:bCs/>
          <w:kern w:val="2"/>
        </w:rPr>
      </w:r>
    </w:p>
    <w:p>
      <w:pPr>
        <w:pStyle w:val="Normal"/>
        <w:ind w:start="-284" w:end="300"/>
        <w:jc w:val="both"/>
        <w:rPr/>
      </w:pPr>
      <w:r>
        <w:rPr>
          <w:b/>
          <w:bCs/>
          <w:kern w:val="2"/>
        </w:rPr>
        <w:t xml:space="preserve">Обоснование выбора исполнителя: </w:t>
      </w:r>
    </w:p>
    <w:p>
      <w:pPr>
        <w:pStyle w:val="Normal"/>
        <w:ind w:firstLine="568" w:start="-284" w:end="301"/>
        <w:jc w:val="both"/>
        <w:rPr/>
      </w:pPr>
      <w:r>
        <w:rPr/>
        <w:t>Был направлен адресный запрос ТКП в адрес АТКП № 241491.</w:t>
      </w:r>
    </w:p>
    <w:p>
      <w:pPr>
        <w:pStyle w:val="Normal"/>
        <w:ind w:firstLine="568" w:start="-284" w:end="301"/>
        <w:jc w:val="both"/>
        <w:rPr/>
      </w:pPr>
      <w:r>
        <w:rPr/>
        <w:t xml:space="preserve">Полученное предложение соответствуют предъявленным требованиям заказчика. Предлагаемая цена не требуют пересчета стоимости в текущий уровень цен, поскольку указана на дату подготовки процедуры закупки. </w:t>
      </w:r>
    </w:p>
    <w:p>
      <w:pPr>
        <w:pStyle w:val="Normal"/>
        <w:ind w:firstLine="284" w:start="-284" w:end="0"/>
        <w:jc w:val="both"/>
        <w:rPr/>
      </w:pPr>
      <w:r>
        <w:rPr/>
        <w:t xml:space="preserve">В качестве НМЦ принимается цена Исполнителя на основании п. 6.3.2 Методики расчета НМЦ (Приложение № 8 к ЕОСЗ) и заключением от </w:t>
      </w:r>
      <w:bookmarkStart w:id="1" w:name="_Hlk185492197"/>
      <w:r>
        <w:rPr/>
        <w:t xml:space="preserve">15.12.2025 г. № </w:t>
      </w:r>
      <w:bookmarkEnd w:id="1"/>
      <w:r>
        <w:rPr/>
        <w:t>74-1.11-09/50.</w:t>
      </w:r>
    </w:p>
    <w:p>
      <w:pPr>
        <w:pStyle w:val="Normal"/>
        <w:ind w:firstLine="284" w:start="-284" w:end="0"/>
        <w:jc w:val="both"/>
        <w:rPr/>
      </w:pPr>
      <w:r>
        <w:rPr/>
        <w:t xml:space="preserve">Результаты переговоров по снижению цены: с АТКП № 241491 проведены переговоры по снижению цены, в результате цена предложения исполнителя осталась неизменной и составляет </w:t>
      </w:r>
      <w:r>
        <w:rPr>
          <w:bCs/>
          <w:kern w:val="2"/>
        </w:rPr>
        <w:t>882 495 (Восемьсот восемьдесят две тысячи четыреста девяносто пять) рублей 54 копейки, без учета НДС.</w:t>
      </w:r>
    </w:p>
    <w:p>
      <w:pPr>
        <w:pStyle w:val="Normal"/>
        <w:ind w:firstLine="284" w:start="-284" w:end="0"/>
        <w:jc w:val="both"/>
        <w:rPr/>
      </w:pPr>
      <w:r>
        <w:rPr>
          <w:b/>
          <w:bCs/>
          <w:kern w:val="2"/>
        </w:rPr>
        <w:t>Приложения:</w:t>
      </w:r>
      <w:r>
        <w:rPr/>
        <w:t xml:space="preserve"> </w:t>
      </w:r>
      <w:bookmarkStart w:id="2" w:name="_Hlk184377980"/>
      <w:r>
        <w:rPr/>
        <w:t>АТКП</w:t>
      </w:r>
      <w:r>
        <w:rPr>
          <w:spacing w:val="-1"/>
        </w:rPr>
        <w:t xml:space="preserve">; </w:t>
      </w:r>
      <w:r>
        <w:rPr/>
        <w:t>Заключение Об утверждении расчета НМЦ 15.12.2025 г. № 74-1.11-09/50; разрешение на информационный обмен; заключение ПДТК о возможности открытого опубликования; проект договора.</w:t>
      </w:r>
    </w:p>
    <w:p>
      <w:pPr>
        <w:pStyle w:val="Normal"/>
        <w:tabs>
          <w:tab w:val="clear" w:pos="708"/>
          <w:tab w:val="left" w:pos="10185" w:leader="none"/>
        </w:tabs>
        <w:ind w:firstLine="709" w:end="0"/>
        <w:rPr/>
      </w:pPr>
      <w:r>
        <w:rPr/>
      </w:r>
      <w:bookmarkEnd w:id="2"/>
    </w:p>
    <w:p>
      <w:pPr>
        <w:pStyle w:val="Normal"/>
        <w:tabs>
          <w:tab w:val="clear" w:pos="708"/>
          <w:tab w:val="left" w:pos="10185" w:leader="none"/>
        </w:tabs>
        <w:ind w:firstLine="709" w:end="0"/>
        <w:rPr/>
      </w:pPr>
      <w:r>
        <w:rPr/>
      </w:r>
    </w:p>
    <w:p>
      <w:pPr>
        <w:pStyle w:val="Normal"/>
        <w:tabs>
          <w:tab w:val="clear" w:pos="708"/>
          <w:tab w:val="left" w:pos="10185" w:leader="none"/>
        </w:tabs>
        <w:ind w:firstLine="709" w:end="0"/>
        <w:rPr/>
      </w:pPr>
      <w:r>
        <w:rPr/>
      </w:r>
    </w:p>
    <w:p>
      <w:pPr>
        <w:pStyle w:val="Normal"/>
        <w:tabs>
          <w:tab w:val="clear" w:pos="708"/>
          <w:tab w:val="left" w:pos="10185" w:leader="none"/>
        </w:tabs>
        <w:ind w:firstLine="709" w:end="0"/>
        <w:rPr/>
      </w:pPr>
      <w:r>
        <w:rPr/>
        <w:t xml:space="preserve">Начальник </w:t>
      </w:r>
      <w:bookmarkStart w:id="3" w:name="_Hlk151974351"/>
      <w:r>
        <w:rPr/>
        <w:t xml:space="preserve">АХО  </w:t>
        <w:tab/>
      </w:r>
      <w:bookmarkEnd w:id="3"/>
      <w:r>
        <w:rPr/>
        <w:t xml:space="preserve">      _____________ Синицын Д.В.</w:t>
      </w:r>
    </w:p>
    <w:p>
      <w:pPr>
        <w:pStyle w:val="Normal"/>
        <w:tabs>
          <w:tab w:val="clear" w:pos="708"/>
          <w:tab w:val="left" w:pos="10185" w:leader="none"/>
        </w:tabs>
        <w:ind w:firstLine="709" w:end="0"/>
        <w:rPr>
          <w:i/>
          <w:i/>
        </w:rPr>
      </w:pPr>
      <w:r>
        <w:rPr>
          <w:i/>
        </w:rPr>
        <w:t>(должность инициатора закупки)</w:t>
      </w:r>
    </w:p>
    <w:p>
      <w:pPr>
        <w:pStyle w:val="Normal"/>
        <w:tabs>
          <w:tab w:val="clear" w:pos="708"/>
          <w:tab w:val="left" w:pos="10185" w:leader="none"/>
        </w:tabs>
        <w:ind w:firstLine="709" w:end="0"/>
        <w:rPr>
          <w:i/>
          <w:i/>
        </w:rPr>
      </w:pPr>
      <w:r>
        <w:rPr>
          <w:i/>
        </w:rPr>
      </w:r>
    </w:p>
    <w:p>
      <w:pPr>
        <w:pStyle w:val="Normal"/>
        <w:tabs>
          <w:tab w:val="clear" w:pos="708"/>
          <w:tab w:val="left" w:pos="10185" w:leader="none"/>
        </w:tabs>
        <w:ind w:firstLine="709" w:end="0"/>
        <w:rPr>
          <w:i/>
          <w:i/>
        </w:rPr>
      </w:pPr>
      <w:r>
        <w:rPr>
          <w:i/>
        </w:rPr>
      </w:r>
    </w:p>
    <w:p>
      <w:pPr>
        <w:pStyle w:val="Normal"/>
        <w:tabs>
          <w:tab w:val="clear" w:pos="708"/>
          <w:tab w:val="left" w:pos="10185" w:leader="none"/>
        </w:tabs>
        <w:ind w:firstLine="709" w:end="0"/>
        <w:rPr/>
      </w:pPr>
      <w:r>
        <w:rPr/>
      </w:r>
    </w:p>
    <w:p>
      <w:pPr>
        <w:pStyle w:val="Normal"/>
        <w:tabs>
          <w:tab w:val="clear" w:pos="708"/>
          <w:tab w:val="left" w:pos="10185" w:leader="none"/>
        </w:tabs>
        <w:ind w:firstLine="709" w:end="0"/>
        <w:rPr/>
      </w:pPr>
      <w:r>
        <w:rPr/>
      </w:r>
    </w:p>
    <w:p>
      <w:pPr>
        <w:pStyle w:val="Normal"/>
        <w:tabs>
          <w:tab w:val="clear" w:pos="708"/>
          <w:tab w:val="left" w:pos="10185" w:leader="none"/>
        </w:tabs>
        <w:ind w:firstLine="709" w:end="0"/>
        <w:rPr/>
      </w:pPr>
      <w:r>
        <w:rPr/>
        <w:t>Согласовано</w:t>
      </w:r>
    </w:p>
    <w:p>
      <w:pPr>
        <w:pStyle w:val="Normal"/>
        <w:tabs>
          <w:tab w:val="clear" w:pos="708"/>
          <w:tab w:val="left" w:pos="10185" w:leader="none"/>
        </w:tabs>
        <w:ind w:firstLine="709" w:end="0"/>
        <w:rPr/>
      </w:pPr>
      <w:r>
        <w:rPr/>
      </w:r>
    </w:p>
    <w:p>
      <w:pPr>
        <w:pStyle w:val="Normal"/>
        <w:tabs>
          <w:tab w:val="clear" w:pos="708"/>
          <w:tab w:val="left" w:pos="10185" w:leader="none"/>
        </w:tabs>
        <w:ind w:firstLine="709" w:end="0"/>
        <w:rPr/>
      </w:pPr>
      <w:r>
        <w:rPr/>
        <w:t>Советник генерального директора по закупочной деятельности                                                       _____________Тараканов В.А.</w:t>
      </w:r>
    </w:p>
    <w:p>
      <w:pPr>
        <w:pStyle w:val="Normal"/>
        <w:ind w:firstLine="568" w:start="-284" w:end="301"/>
        <w:jc w:val="both"/>
        <w:rPr/>
      </w:pPr>
      <w:r>
        <w:rPr/>
        <w:t xml:space="preserve">        </w:t>
      </w:r>
    </w:p>
    <w:p>
      <w:pPr>
        <w:pStyle w:val="Normal"/>
        <w:tabs>
          <w:tab w:val="clear" w:pos="708"/>
          <w:tab w:val="left" w:pos="10185" w:leader="none"/>
        </w:tabs>
        <w:ind w:firstLine="709" w:end="0"/>
        <w:rPr/>
      </w:pPr>
      <w:r>
        <w:rPr/>
      </w:r>
    </w:p>
    <w:p>
      <w:pPr>
        <w:pStyle w:val="Normal"/>
        <w:ind w:firstLine="568" w:start="-284" w:end="301"/>
        <w:jc w:val="both"/>
        <w:rPr/>
      </w:pPr>
      <w:r>
        <w:rPr/>
        <w:t xml:space="preserve">       </w:t>
      </w:r>
      <w:r>
        <w:rPr/>
        <w:t>Начальник УМТО                                                                                                                                    _____________Сидоров Е.Ф.</w:t>
      </w:r>
    </w:p>
    <w:sectPr>
      <w:type w:val="nextPage"/>
      <w:pgSz w:orient="landscape" w:w="16838" w:h="11906"/>
      <w:pgMar w:left="1418" w:right="567" w:gutter="0" w:header="0" w:top="1134" w:footer="0" w:bottom="1276"/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  <w:lang w:val="en-US"/>
    </w:rPr>
  </w:style>
  <w:style w:type="character" w:styleId="WW8Num1z0">
    <w:name w:val="WW8Num1z0"/>
    <w:qFormat/>
    <w:rPr>
      <w:rFonts w:ascii="Times New Roman" w:hAnsi="Times New Roman" w:eastAsia="Times New Roman" w:cs="Times New Roman"/>
      <w:b w:val="false"/>
      <w:color w:val="000000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2"/>
      <w:sz w:val="22"/>
      <w:szCs w:val="22"/>
      <w:u w:val="none"/>
      <w:vertAlign w:val="baseline"/>
      <w:lang w:val="ru-RU"/>
    </w:rPr>
  </w:style>
  <w:style w:type="character" w:styleId="WW8Num3z1">
    <w:name w:val="WW8Num3z1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 w:val="24"/>
      <w:szCs w:val="24"/>
      <w:u w:val="none"/>
      <w:vertAlign w:val="baseline"/>
      <w:lang w:val="ru-RU"/>
    </w:rPr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>
      <w:rFonts w:ascii="Times New Roman" w:hAnsi="Times New Roman" w:eastAsia="Times New Roman" w:cs="Times New Roman"/>
    </w:rPr>
  </w:style>
  <w:style w:type="character" w:styleId="WW8Num10z1">
    <w:name w:val="WW8Num10z1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Style13">
    <w:name w:val="Основной шрифт абзаца"/>
    <w:qFormat/>
    <w:rPr/>
  </w:style>
  <w:style w:type="character" w:styleId="1">
    <w:name w:val="Заголовок 1 Знак"/>
    <w:qFormat/>
    <w:rPr>
      <w:rFonts w:ascii="Arial" w:hAnsi="Arial" w:eastAsia="Times New Roman" w:cs="Arial"/>
      <w:b/>
      <w:bCs/>
      <w:kern w:val="2"/>
      <w:sz w:val="32"/>
      <w:szCs w:val="32"/>
    </w:rPr>
  </w:style>
  <w:style w:type="character" w:styleId="Style14">
    <w:name w:val="Верх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5">
    <w:name w:val="Ниж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HTML">
    <w:name w:val="Стандартный HTML Знак"/>
    <w:qFormat/>
    <w:rPr>
      <w:rFonts w:ascii="Courier New" w:hAnsi="Courier New" w:eastAsia="Times New Roman" w:cs="Courier New"/>
      <w:sz w:val="20"/>
      <w:szCs w:val="20"/>
    </w:rPr>
  </w:style>
  <w:style w:type="character" w:styleId="Style16">
    <w:name w:val="Схема документа Знак"/>
    <w:qFormat/>
    <w:rPr>
      <w:rFonts w:ascii="Tahoma" w:hAnsi="Tahoma" w:eastAsia="Times New Roman" w:cs="Tahoma"/>
      <w:sz w:val="16"/>
      <w:szCs w:val="16"/>
    </w:rPr>
  </w:style>
  <w:style w:type="character" w:styleId="2">
    <w:name w:val="Основной текст с отступом 2 Знак"/>
    <w:qFormat/>
    <w:rPr>
      <w:sz w:val="24"/>
      <w:szCs w:val="24"/>
      <w:lang w:val="ru-RU" w:bidi="ar-SA"/>
    </w:rPr>
  </w:style>
  <w:style w:type="character" w:styleId="11">
    <w:name w:val="Заголовок 1 Знак Знак Знак Знак Знак Знак Знак Знак Знак Знак"/>
    <w:qFormat/>
    <w:rPr>
      <w:rFonts w:ascii="Arial" w:hAnsi="Arial" w:cs="Arial"/>
      <w:b/>
      <w:bCs/>
      <w:kern w:val="2"/>
      <w:sz w:val="32"/>
      <w:szCs w:val="32"/>
      <w:lang w:val="ru-RU" w:bidi="ar-SA"/>
    </w:rPr>
  </w:style>
  <w:style w:type="character" w:styleId="Hyperlink">
    <w:name w:val="Hyperlink"/>
    <w:rPr>
      <w:color w:val="0000FF"/>
      <w:u w:val="single"/>
    </w:rPr>
  </w:style>
  <w:style w:type="character" w:styleId="Style17">
    <w:name w:val="Текст выноски Знак"/>
    <w:qFormat/>
    <w:rPr>
      <w:rFonts w:ascii="Tahoma" w:hAnsi="Tahoma" w:eastAsia="Times New Roman" w:cs="Tahoma"/>
      <w:sz w:val="16"/>
      <w:szCs w:val="16"/>
    </w:rPr>
  </w:style>
  <w:style w:type="character" w:styleId="12">
    <w:name w:val="Основной текст1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2"/>
      <w:sz w:val="22"/>
      <w:szCs w:val="22"/>
      <w:u w:val="none"/>
      <w:vertAlign w:val="baseline"/>
      <w:lang w:val="ru-RU"/>
    </w:rPr>
  </w:style>
  <w:style w:type="character" w:styleId="Style18">
    <w:name w:val="Основной текст с отступом Знак"/>
    <w:qFormat/>
    <w:rPr>
      <w:rFonts w:ascii="Times New Roman" w:hAnsi="Times New Roman" w:eastAsia="Times New Roman" w:cs="Times New Roman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HTML1">
    <w:name w:val="Стандартный HTML"/>
    <w:basedOn w:val="Norma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val="en-US"/>
    </w:rPr>
  </w:style>
  <w:style w:type="paragraph" w:styleId="Style19">
    <w:name w:val="Схема документа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21">
    <w:name w:val="Основной текст с отступом 2"/>
    <w:basedOn w:val="Normal"/>
    <w:qFormat/>
    <w:pPr>
      <w:spacing w:lineRule="auto" w:line="480" w:before="0" w:after="120"/>
      <w:ind w:hanging="0" w:start="283" w:end="0"/>
    </w:pPr>
    <w:rPr>
      <w:rFonts w:ascii="Calibri" w:hAnsi="Calibri" w:eastAsia="Calibri" w:cs="Calibri"/>
    </w:rPr>
  </w:style>
  <w:style w:type="paragraph" w:styleId="Style20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Style21">
    <w:name w:val="Без интервала"/>
    <w:qFormat/>
    <w:pPr>
      <w:widowControl/>
      <w:bidi w:val="0"/>
    </w:pPr>
    <w:rPr>
      <w:rFonts w:ascii="Calibri" w:hAnsi="Calibri" w:eastAsia="Calibri" w:cs="Arial"/>
      <w:color w:val="auto"/>
      <w:sz w:val="20"/>
      <w:szCs w:val="20"/>
      <w:lang w:val="ru-RU" w:bidi="ar-SA" w:eastAsia="zh-CN"/>
    </w:rPr>
  </w:style>
  <w:style w:type="paragraph" w:styleId="Style22">
    <w:name w:val="Абзац списка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 w:eastAsia="Calibri" w:cs="Calibri"/>
      <w:sz w:val="22"/>
      <w:szCs w:val="22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3588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2012-04-12T07:40:00Z</dcterms:created>
  <dc:creator>Вашуркин Д.В. Росатом</dc:creator>
  <dc:description/>
  <cp:keywords/>
  <dc:language>en-US</dc:language>
  <cp:lastModifiedBy>Филатова Александра Игоревна</cp:lastModifiedBy>
  <cp:lastPrinted>2023-05-17T10:32:00Z</cp:lastPrinted>
  <dcterms:modified xsi:type="dcterms:W3CDTF">2025-12-15T06:07:00Z</dcterms:modified>
  <cp:revision>488</cp:revision>
  <dc:subject/>
  <dc:title/>
</cp:coreProperties>
</file>