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before="360" w:after="0"/>
        <w:jc w:val="center"/>
        <w:rPr>
          <w:sz w:val="20"/>
          <w:szCs w:val="20"/>
        </w:rPr>
      </w:pPr>
      <w:r>
        <w:rPr>
          <w:b/>
          <w:sz w:val="20"/>
          <w:szCs w:val="20"/>
        </w:rPr>
        <w:t>ПРОТОКОЛ</w:t>
      </w:r>
    </w:p>
    <w:p>
      <w:pPr>
        <w:pStyle w:val="Normal"/>
        <w:widowControl w:val="false"/>
        <w:jc w:val="center"/>
        <w:rPr>
          <w:i/>
          <w:i/>
          <w:sz w:val="20"/>
          <w:szCs w:val="20"/>
        </w:rPr>
      </w:pPr>
      <w:r>
        <w:rPr>
          <w:sz w:val="20"/>
          <w:szCs w:val="20"/>
        </w:rPr>
        <w:t xml:space="preserve">заседания Комиссии по маркетинговым исследованиям АО «Теплосеть Санкт-Петербурга» по рассмотрению заявок и подведению итогов открытых маркетинговых исследований в электронной форме, </w:t>
      </w:r>
      <w:r>
        <w:rPr>
          <w:color w:val="000000"/>
          <w:sz w:val="20"/>
          <w:szCs w:val="20"/>
        </w:rPr>
        <w:t>участниками которых могут быть только субъекты малого и среднего предпринимательства</w:t>
      </w:r>
      <w:r>
        <w:rPr>
          <w:sz w:val="20"/>
          <w:szCs w:val="20"/>
        </w:rPr>
        <w:t xml:space="preserve">  </w:t>
      </w:r>
    </w:p>
    <w:p>
      <w:pPr>
        <w:pStyle w:val="Normal"/>
        <w:widowControl w:val="false"/>
        <w:jc w:val="center"/>
        <w:rPr>
          <w:b/>
          <w:i/>
          <w:i/>
          <w:sz w:val="20"/>
          <w:szCs w:val="20"/>
        </w:rPr>
      </w:pPr>
      <w:r>
        <w:rPr>
          <w:b/>
          <w:i/>
          <w:sz w:val="20"/>
          <w:szCs w:val="20"/>
        </w:rPr>
      </w:r>
    </w:p>
    <w:p>
      <w:pPr>
        <w:pStyle w:val="Normal"/>
        <w:widowControl w:val="false"/>
        <w:jc w:val="center"/>
        <w:rPr>
          <w:b/>
          <w:sz w:val="20"/>
          <w:szCs w:val="20"/>
        </w:rPr>
      </w:pPr>
      <w:r>
        <w:rPr>
          <w:b/>
          <w:sz w:val="20"/>
          <w:szCs w:val="20"/>
        </w:rPr>
        <w:t>Санкт-Петербург</w:t>
      </w:r>
    </w:p>
    <w:p>
      <w:pPr>
        <w:pStyle w:val="Normal"/>
        <w:widowControl w:val="false"/>
        <w:jc w:val="center"/>
        <w:rPr>
          <w:b/>
          <w:sz w:val="20"/>
          <w:szCs w:val="20"/>
        </w:rPr>
      </w:pPr>
      <w:r>
        <w:rPr>
          <w:b/>
          <w:sz w:val="20"/>
          <w:szCs w:val="20"/>
        </w:rPr>
      </w:r>
    </w:p>
    <w:tbl>
      <w:tblPr>
        <w:tblW w:w="9889" w:type="dxa"/>
        <w:jc w:val="start"/>
        <w:tblInd w:w="0" w:type="dxa"/>
        <w:tblLayout w:type="fixed"/>
        <w:tblCellMar>
          <w:top w:w="0" w:type="dxa"/>
          <w:start w:w="108" w:type="dxa"/>
          <w:bottom w:w="0" w:type="dxa"/>
          <w:end w:w="108" w:type="dxa"/>
        </w:tblCellMar>
      </w:tblPr>
      <w:tblGrid>
        <w:gridCol w:w="4786"/>
        <w:gridCol w:w="5103"/>
      </w:tblGrid>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pPr>
            <w:r>
              <w:rPr>
                <w:sz w:val="20"/>
                <w:szCs w:val="20"/>
              </w:rPr>
              <w:t>Номер протокола: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w:t>
            </w:r>
            <w:r>
              <w:rPr/>
              <w:t xml:space="preserve"> </w:t>
            </w:r>
            <w:r>
              <w:rPr>
                <w:sz w:val="20"/>
                <w:szCs w:val="20"/>
              </w:rPr>
              <w:t>32515440741_1</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Дата/время проведения заседания:</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«11» декабря 2025 года 17:00 (</w:t>
            </w:r>
            <w:r>
              <w:rPr>
                <w:i/>
                <w:sz w:val="20"/>
                <w:szCs w:val="20"/>
              </w:rPr>
              <w:t>по московскому времени)</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Дата подписания протокола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«11» декабря 2025 года</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Начальная (максимальная) цена с НДС, руб.:</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5 449 393,59</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Место поставки товара: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в соответствии с проектом договора</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Срок поставки товара: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в соответствии с проектом договора</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Объем поставки товара: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в соответствии с проектом договора</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Срок исполнения договора: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в соответствии с проектом договора</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Участниками могут быть только субъекты МСП</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Да</w:t>
            </w:r>
          </w:p>
        </w:tc>
      </w:tr>
    </w:tbl>
    <w:p>
      <w:pPr>
        <w:pStyle w:val="Normal"/>
        <w:widowControl w:val="false"/>
        <w:spacing w:before="120" w:after="120"/>
        <w:rPr>
          <w:b/>
          <w:sz w:val="20"/>
          <w:szCs w:val="20"/>
        </w:rPr>
      </w:pPr>
      <w:r>
        <w:rPr>
          <w:b/>
          <w:sz w:val="20"/>
          <w:szCs w:val="20"/>
        </w:rPr>
      </w:r>
    </w:p>
    <w:p>
      <w:pPr>
        <w:pStyle w:val="Normal"/>
        <w:widowControl w:val="false"/>
        <w:spacing w:before="120" w:after="120"/>
        <w:rPr>
          <w:b/>
          <w:sz w:val="20"/>
          <w:szCs w:val="20"/>
        </w:rPr>
      </w:pPr>
      <w:r>
        <w:rPr>
          <w:b/>
          <w:sz w:val="20"/>
          <w:szCs w:val="20"/>
        </w:rPr>
        <w:t>ПРЕДМЕТ ЗАКУПКИ:</w:t>
      </w:r>
    </w:p>
    <w:p>
      <w:pPr>
        <w:pStyle w:val="Normal"/>
        <w:widowControl w:val="false"/>
        <w:jc w:val="both"/>
        <w:rPr>
          <w:sz w:val="20"/>
          <w:szCs w:val="20"/>
        </w:rPr>
      </w:pPr>
      <w:r>
        <w:rPr>
          <w:sz w:val="20"/>
          <w:szCs w:val="20"/>
        </w:rPr>
        <w:t>Лот 1: Поставка бензо-электроинструмента (4444/6.1.1-254)</w:t>
      </w:r>
    </w:p>
    <w:p>
      <w:pPr>
        <w:pStyle w:val="Normal"/>
        <w:widowControl w:val="false"/>
        <w:rPr>
          <w:b/>
          <w:sz w:val="20"/>
          <w:szCs w:val="20"/>
        </w:rPr>
      </w:pPr>
      <w:r>
        <w:rPr>
          <w:b/>
          <w:sz w:val="20"/>
          <w:szCs w:val="20"/>
        </w:rPr>
      </w:r>
    </w:p>
    <w:p>
      <w:pPr>
        <w:pStyle w:val="Normal"/>
        <w:widowControl w:val="false"/>
        <w:spacing w:before="120" w:after="120"/>
        <w:rPr>
          <w:b/>
          <w:sz w:val="20"/>
          <w:szCs w:val="20"/>
        </w:rPr>
      </w:pPr>
      <w:r>
        <w:rPr>
          <w:b/>
          <w:sz w:val="20"/>
          <w:szCs w:val="20"/>
        </w:rPr>
        <w:t>ПОВЕСТКА:</w:t>
      </w:r>
    </w:p>
    <w:p>
      <w:pPr>
        <w:pStyle w:val="Normal"/>
        <w:widowControl w:val="false"/>
        <w:jc w:val="both"/>
        <w:rPr/>
      </w:pPr>
      <w:r>
        <w:rPr>
          <w:sz w:val="20"/>
          <w:szCs w:val="20"/>
        </w:rPr>
        <w:t>Рассмотрение заявок и подведение итогов открытых маркетинговых исследований в электронной форме, участниками которых могут быть только субъекты малого и среднего предпринимательства, на право заключения договора на поставку бензо-электроинструмента (4444/6.1.1-254).</w:t>
      </w:r>
    </w:p>
    <w:p>
      <w:pPr>
        <w:pStyle w:val="Normal"/>
        <w:spacing w:before="120" w:after="120"/>
        <w:ind w:firstLine="567" w:end="0"/>
        <w:contextualSpacing/>
        <w:jc w:val="both"/>
        <w:rPr>
          <w:sz w:val="20"/>
          <w:szCs w:val="20"/>
        </w:rPr>
      </w:pPr>
      <w:r>
        <w:rPr>
          <w:sz w:val="20"/>
          <w:szCs w:val="20"/>
        </w:rPr>
      </w:r>
    </w:p>
    <w:p>
      <w:pPr>
        <w:pStyle w:val="Normal"/>
        <w:widowControl w:val="false"/>
        <w:numPr>
          <w:ilvl w:val="0"/>
          <w:numId w:val="3"/>
        </w:numPr>
        <w:spacing w:before="120" w:after="120"/>
        <w:ind w:hanging="284" w:start="284" w:end="0"/>
        <w:contextualSpacing/>
        <w:jc w:val="both"/>
        <w:rPr>
          <w:sz w:val="20"/>
          <w:szCs w:val="20"/>
        </w:rPr>
      </w:pPr>
      <w:r>
        <w:rPr>
          <w:sz w:val="20"/>
          <w:szCs w:val="20"/>
        </w:rPr>
        <w:t>Об одобрении Сводного заключения Экспертного совета по рассмотрению заявок и подведению итогов открытых маркетинговых исследований.</w:t>
      </w:r>
    </w:p>
    <w:p>
      <w:pPr>
        <w:pStyle w:val="Normal"/>
        <w:widowControl w:val="false"/>
        <w:numPr>
          <w:ilvl w:val="0"/>
          <w:numId w:val="3"/>
        </w:numPr>
        <w:spacing w:before="120" w:after="120"/>
        <w:ind w:hanging="284" w:start="284" w:end="0"/>
        <w:contextualSpacing/>
        <w:jc w:val="both"/>
        <w:rPr>
          <w:sz w:val="20"/>
          <w:szCs w:val="20"/>
        </w:rPr>
      </w:pPr>
      <w:r>
        <w:rPr>
          <w:sz w:val="20"/>
          <w:szCs w:val="20"/>
        </w:rPr>
        <w:t>О признании заявок соответствующими условиям закупки.</w:t>
      </w:r>
    </w:p>
    <w:p>
      <w:pPr>
        <w:pStyle w:val="Normal"/>
        <w:widowControl w:val="false"/>
        <w:numPr>
          <w:ilvl w:val="0"/>
          <w:numId w:val="3"/>
        </w:numPr>
        <w:spacing w:before="120" w:after="120"/>
        <w:ind w:hanging="284" w:start="284" w:end="0"/>
        <w:contextualSpacing/>
        <w:jc w:val="both"/>
        <w:rPr>
          <w:sz w:val="20"/>
          <w:szCs w:val="20"/>
        </w:rPr>
      </w:pPr>
      <w:r>
        <w:rPr>
          <w:sz w:val="20"/>
          <w:szCs w:val="20"/>
        </w:rPr>
        <w:t>Об отклонении заявок участников.</w:t>
      </w:r>
    </w:p>
    <w:p>
      <w:pPr>
        <w:pStyle w:val="Normal"/>
        <w:widowControl w:val="false"/>
        <w:numPr>
          <w:ilvl w:val="0"/>
          <w:numId w:val="3"/>
        </w:numPr>
        <w:spacing w:before="120" w:after="120"/>
        <w:ind w:hanging="284" w:start="284" w:end="0"/>
        <w:contextualSpacing/>
        <w:jc w:val="both"/>
        <w:rPr>
          <w:sz w:val="20"/>
          <w:szCs w:val="20"/>
        </w:rPr>
      </w:pPr>
      <w:r>
        <w:rPr>
          <w:sz w:val="20"/>
          <w:szCs w:val="20"/>
        </w:rPr>
        <w:t>Об определении победителя.</w:t>
      </w:r>
    </w:p>
    <w:p>
      <w:pPr>
        <w:pStyle w:val="Normal"/>
        <w:widowControl w:val="false"/>
        <w:numPr>
          <w:ilvl w:val="0"/>
          <w:numId w:val="3"/>
        </w:numPr>
        <w:spacing w:before="120" w:after="120"/>
        <w:ind w:hanging="284" w:start="284" w:end="0"/>
        <w:contextualSpacing/>
        <w:jc w:val="both"/>
        <w:rPr>
          <w:sz w:val="20"/>
          <w:szCs w:val="20"/>
        </w:rPr>
      </w:pPr>
      <w:r>
        <w:rPr>
          <w:sz w:val="20"/>
          <w:szCs w:val="20"/>
        </w:rPr>
        <w:t>О возможности проведения преддоговорных переговоров.</w:t>
      </w:r>
    </w:p>
    <w:p>
      <w:pPr>
        <w:pStyle w:val="Normal"/>
        <w:widowControl w:val="false"/>
        <w:spacing w:lineRule="auto" w:line="288" w:before="120" w:after="120"/>
        <w:contextualSpacing/>
        <w:jc w:val="both"/>
        <w:rPr>
          <w:b/>
          <w:sz w:val="20"/>
          <w:szCs w:val="20"/>
        </w:rPr>
      </w:pPr>
      <w:r>
        <w:rPr>
          <w:b/>
          <w:sz w:val="20"/>
          <w:szCs w:val="20"/>
        </w:rPr>
      </w:r>
    </w:p>
    <w:p>
      <w:pPr>
        <w:pStyle w:val="Normal"/>
        <w:widowControl w:val="false"/>
        <w:spacing w:before="120" w:after="120"/>
        <w:jc w:val="both"/>
        <w:rPr>
          <w:b/>
          <w:sz w:val="20"/>
          <w:szCs w:val="20"/>
        </w:rPr>
      </w:pPr>
      <w:r>
        <w:rPr>
          <w:b/>
          <w:sz w:val="20"/>
          <w:szCs w:val="20"/>
        </w:rPr>
        <w:t>КОМИССИЯ ПО МАРКЕТИНГОВЫМ ИССЛЕДОВАНИЯМ АО «ТЕПЛОСЕТЬ САНКТ-ПЕТЕРБУРГА»:</w:t>
      </w:r>
    </w:p>
    <w:p>
      <w:pPr>
        <w:pStyle w:val="Normal"/>
        <w:widowControl w:val="false"/>
        <w:spacing w:lineRule="auto" w:line="288" w:before="120" w:after="120"/>
        <w:ind w:end="-285"/>
        <w:contextualSpacing/>
        <w:rPr>
          <w:sz w:val="20"/>
          <w:szCs w:val="20"/>
          <w:u w:val="single"/>
        </w:rPr>
      </w:pPr>
      <w:r>
        <w:rPr>
          <w:sz w:val="20"/>
          <w:szCs w:val="20"/>
          <w:u w:val="single"/>
        </w:rPr>
        <w:t>Заместитель председателя Комиссии по маркетинговым исследованиям АО «Теплосеть Санкт-Петербурга»:</w:t>
      </w:r>
    </w:p>
    <w:p>
      <w:pPr>
        <w:pStyle w:val="Normal"/>
        <w:widowControl w:val="false"/>
        <w:spacing w:lineRule="auto" w:line="288" w:before="120" w:after="120"/>
        <w:contextualSpacing/>
        <w:rPr>
          <w:sz w:val="20"/>
          <w:szCs w:val="20"/>
        </w:rPr>
      </w:pPr>
      <w:r>
        <w:rPr>
          <w:sz w:val="20"/>
          <w:szCs w:val="20"/>
        </w:rPr>
        <w:t>Чистяков С.С.</w:t>
      </w:r>
    </w:p>
    <w:p>
      <w:pPr>
        <w:pStyle w:val="Normal"/>
        <w:widowControl w:val="false"/>
        <w:spacing w:lineRule="auto" w:line="288" w:before="120" w:after="120"/>
        <w:ind w:end="-285"/>
        <w:contextualSpacing/>
        <w:rPr>
          <w:sz w:val="20"/>
          <w:szCs w:val="20"/>
          <w:u w:val="single"/>
        </w:rPr>
      </w:pPr>
      <w:r>
        <w:rPr>
          <w:sz w:val="20"/>
          <w:szCs w:val="20"/>
          <w:u w:val="single"/>
        </w:rPr>
        <w:t>Члены Комиссии по маркетинговым исследованиям АО «Теплосеть Санкт-Петербурга»:</w:t>
      </w:r>
    </w:p>
    <w:p>
      <w:pPr>
        <w:pStyle w:val="Normal"/>
        <w:widowControl w:val="false"/>
        <w:spacing w:lineRule="auto" w:line="288" w:before="120" w:after="120"/>
        <w:contextualSpacing/>
        <w:jc w:val="both"/>
        <w:rPr>
          <w:sz w:val="20"/>
          <w:szCs w:val="20"/>
        </w:rPr>
      </w:pPr>
      <w:r>
        <w:rPr>
          <w:sz w:val="20"/>
          <w:szCs w:val="20"/>
        </w:rPr>
        <w:t>Буряк И.Н.</w:t>
      </w:r>
    </w:p>
    <w:p>
      <w:pPr>
        <w:pStyle w:val="Normal"/>
        <w:widowControl w:val="false"/>
        <w:spacing w:lineRule="auto" w:line="288" w:before="120" w:after="120"/>
        <w:contextualSpacing/>
        <w:jc w:val="both"/>
        <w:rPr>
          <w:sz w:val="20"/>
          <w:szCs w:val="20"/>
        </w:rPr>
      </w:pPr>
      <w:r>
        <w:rPr>
          <w:sz w:val="20"/>
          <w:szCs w:val="20"/>
        </w:rPr>
        <w:t>Кузнецов Д.Э.</w:t>
      </w:r>
    </w:p>
    <w:p>
      <w:pPr>
        <w:pStyle w:val="Normal"/>
        <w:widowControl w:val="false"/>
        <w:spacing w:lineRule="auto" w:line="288" w:before="120" w:after="120"/>
        <w:contextualSpacing/>
        <w:jc w:val="both"/>
        <w:rPr>
          <w:sz w:val="20"/>
          <w:szCs w:val="20"/>
        </w:rPr>
      </w:pPr>
      <w:r>
        <w:rPr>
          <w:sz w:val="20"/>
          <w:szCs w:val="20"/>
        </w:rPr>
        <w:t>Медведева Н.Л.</w:t>
      </w:r>
    </w:p>
    <w:p>
      <w:pPr>
        <w:pStyle w:val="Normal"/>
        <w:widowControl w:val="false"/>
        <w:spacing w:lineRule="auto" w:line="288" w:before="120" w:after="120"/>
        <w:contextualSpacing/>
        <w:jc w:val="both"/>
        <w:rPr>
          <w:sz w:val="20"/>
          <w:szCs w:val="20"/>
        </w:rPr>
      </w:pPr>
      <w:r>
        <w:rPr>
          <w:sz w:val="20"/>
          <w:szCs w:val="20"/>
        </w:rPr>
        <w:t>Пахунов Е.М.</w:t>
      </w:r>
    </w:p>
    <w:p>
      <w:pPr>
        <w:pStyle w:val="Normal"/>
        <w:widowControl w:val="false"/>
        <w:spacing w:lineRule="auto" w:line="288" w:before="120" w:after="120"/>
        <w:contextualSpacing/>
        <w:jc w:val="both"/>
        <w:rPr>
          <w:sz w:val="20"/>
          <w:szCs w:val="20"/>
        </w:rPr>
      </w:pPr>
      <w:r>
        <w:rPr>
          <w:sz w:val="20"/>
          <w:szCs w:val="20"/>
        </w:rPr>
        <w:t>Пуговкин В.М.</w:t>
      </w:r>
    </w:p>
    <w:p>
      <w:pPr>
        <w:pStyle w:val="Normal"/>
        <w:widowControl w:val="false"/>
        <w:spacing w:lineRule="auto" w:line="288" w:before="120" w:after="120"/>
        <w:contextualSpacing/>
        <w:jc w:val="both"/>
        <w:rPr>
          <w:sz w:val="20"/>
          <w:szCs w:val="20"/>
        </w:rPr>
      </w:pPr>
      <w:r>
        <w:rPr>
          <w:sz w:val="20"/>
          <w:szCs w:val="20"/>
        </w:rPr>
        <w:t>Северовостоков В.В.</w:t>
      </w:r>
    </w:p>
    <w:p>
      <w:pPr>
        <w:pStyle w:val="Normal"/>
        <w:widowControl w:val="false"/>
        <w:spacing w:lineRule="auto" w:line="288" w:before="120" w:after="120"/>
        <w:contextualSpacing/>
        <w:jc w:val="both"/>
        <w:rPr>
          <w:sz w:val="20"/>
          <w:szCs w:val="20"/>
        </w:rPr>
      </w:pPr>
      <w:r>
        <w:rPr>
          <w:sz w:val="20"/>
          <w:szCs w:val="20"/>
        </w:rPr>
        <w:t>Фомичев А.С.</w:t>
      </w:r>
    </w:p>
    <w:p>
      <w:pPr>
        <w:pStyle w:val="Normal"/>
        <w:widowControl w:val="false"/>
        <w:spacing w:before="120" w:after="120"/>
        <w:contextualSpacing/>
        <w:jc w:val="both"/>
        <w:rPr>
          <w:b/>
          <w:sz w:val="20"/>
          <w:szCs w:val="20"/>
        </w:rPr>
      </w:pPr>
      <w:r>
        <w:rPr>
          <w:b/>
          <w:sz w:val="20"/>
          <w:szCs w:val="20"/>
        </w:rPr>
      </w:r>
    </w:p>
    <w:p>
      <w:pPr>
        <w:pStyle w:val="Normal"/>
        <w:widowControl w:val="false"/>
        <w:spacing w:before="120" w:after="120"/>
        <w:contextualSpacing/>
        <w:jc w:val="both"/>
        <w:rPr>
          <w:b/>
          <w:sz w:val="20"/>
          <w:szCs w:val="20"/>
        </w:rPr>
      </w:pPr>
      <w:r>
        <w:rPr>
          <w:b/>
          <w:sz w:val="20"/>
          <w:szCs w:val="20"/>
        </w:rPr>
        <w:t>УЧАСТИЕ ПРИНИМАЛИ:</w:t>
      </w:r>
    </w:p>
    <w:p>
      <w:pPr>
        <w:pStyle w:val="Normal"/>
        <w:widowControl w:val="false"/>
        <w:spacing w:lineRule="auto" w:line="288" w:before="120" w:after="120"/>
        <w:ind w:end="-285"/>
        <w:contextualSpacing/>
        <w:rPr>
          <w:sz w:val="20"/>
          <w:szCs w:val="20"/>
          <w:u w:val="single"/>
        </w:rPr>
      </w:pPr>
      <w:r>
        <w:rPr>
          <w:sz w:val="20"/>
          <w:szCs w:val="20"/>
          <w:u w:val="single"/>
        </w:rPr>
        <w:t>Заместитель председателя Комиссии по маркетинговым исследованиям АО «Теплосеть Санкт-Петербурга»:</w:t>
      </w:r>
    </w:p>
    <w:p>
      <w:pPr>
        <w:pStyle w:val="Normal"/>
        <w:widowControl w:val="false"/>
        <w:spacing w:lineRule="auto" w:line="288" w:before="120" w:after="120"/>
        <w:contextualSpacing/>
        <w:rPr>
          <w:sz w:val="20"/>
          <w:szCs w:val="20"/>
        </w:rPr>
      </w:pPr>
      <w:r>
        <w:rPr>
          <w:sz w:val="20"/>
          <w:szCs w:val="20"/>
        </w:rPr>
        <w:t>Чистяков С.С.</w:t>
      </w:r>
    </w:p>
    <w:p>
      <w:pPr>
        <w:pStyle w:val="Normal"/>
        <w:widowControl w:val="false"/>
        <w:spacing w:lineRule="auto" w:line="288" w:before="120" w:after="120"/>
        <w:ind w:end="-285"/>
        <w:contextualSpacing/>
        <w:rPr>
          <w:sz w:val="20"/>
          <w:szCs w:val="20"/>
          <w:u w:val="single"/>
        </w:rPr>
      </w:pPr>
      <w:r>
        <w:rPr>
          <w:sz w:val="20"/>
          <w:szCs w:val="20"/>
          <w:u w:val="single"/>
        </w:rPr>
        <w:t>Члены Комиссии по маркетинговым исследованиям АО «Теплосеть Санкт-Петербурга»:</w:t>
      </w:r>
    </w:p>
    <w:p>
      <w:pPr>
        <w:pStyle w:val="Normal"/>
        <w:widowControl w:val="false"/>
        <w:spacing w:lineRule="auto" w:line="288" w:before="120" w:after="120"/>
        <w:contextualSpacing/>
        <w:jc w:val="both"/>
        <w:rPr>
          <w:sz w:val="20"/>
          <w:szCs w:val="20"/>
        </w:rPr>
      </w:pPr>
      <w:r>
        <w:rPr>
          <w:sz w:val="20"/>
          <w:szCs w:val="20"/>
        </w:rPr>
        <w:t>Буряк И.Н.</w:t>
      </w:r>
    </w:p>
    <w:p>
      <w:pPr>
        <w:pStyle w:val="Normal"/>
        <w:widowControl w:val="false"/>
        <w:spacing w:lineRule="auto" w:line="288" w:before="120" w:after="120"/>
        <w:contextualSpacing/>
        <w:jc w:val="both"/>
        <w:rPr>
          <w:sz w:val="20"/>
          <w:szCs w:val="20"/>
        </w:rPr>
      </w:pPr>
      <w:r>
        <w:rPr>
          <w:sz w:val="20"/>
          <w:szCs w:val="20"/>
        </w:rPr>
        <w:t>Кузнецов Д.Э.</w:t>
      </w:r>
    </w:p>
    <w:p>
      <w:pPr>
        <w:pStyle w:val="Normal"/>
        <w:widowControl w:val="false"/>
        <w:spacing w:lineRule="auto" w:line="288" w:before="120" w:after="120"/>
        <w:contextualSpacing/>
        <w:jc w:val="both"/>
        <w:rPr>
          <w:sz w:val="20"/>
          <w:szCs w:val="20"/>
        </w:rPr>
      </w:pPr>
      <w:r>
        <w:rPr>
          <w:sz w:val="20"/>
          <w:szCs w:val="20"/>
        </w:rPr>
        <w:t>Медведева Н.Л.</w:t>
      </w:r>
    </w:p>
    <w:p>
      <w:pPr>
        <w:pStyle w:val="Normal"/>
        <w:widowControl w:val="false"/>
        <w:spacing w:lineRule="auto" w:line="288" w:before="120" w:after="120"/>
        <w:contextualSpacing/>
        <w:jc w:val="both"/>
        <w:rPr>
          <w:sz w:val="20"/>
          <w:szCs w:val="20"/>
        </w:rPr>
      </w:pPr>
      <w:r>
        <w:rPr>
          <w:sz w:val="20"/>
          <w:szCs w:val="20"/>
        </w:rPr>
        <w:t>Пахунов Е.М.</w:t>
      </w:r>
    </w:p>
    <w:p>
      <w:pPr>
        <w:pStyle w:val="Normal"/>
        <w:widowControl w:val="false"/>
        <w:spacing w:lineRule="auto" w:line="288" w:before="120" w:after="120"/>
        <w:contextualSpacing/>
        <w:jc w:val="both"/>
        <w:rPr>
          <w:sz w:val="20"/>
          <w:szCs w:val="20"/>
        </w:rPr>
      </w:pPr>
      <w:r>
        <w:rPr>
          <w:sz w:val="20"/>
          <w:szCs w:val="20"/>
        </w:rPr>
      </w:r>
    </w:p>
    <w:p>
      <w:pPr>
        <w:pStyle w:val="Normal"/>
        <w:widowControl w:val="false"/>
        <w:spacing w:lineRule="auto" w:line="288" w:before="120" w:after="120"/>
        <w:contextualSpacing/>
        <w:jc w:val="both"/>
        <w:rPr>
          <w:sz w:val="20"/>
          <w:szCs w:val="20"/>
        </w:rPr>
      </w:pPr>
      <w:r>
        <w:rPr>
          <w:sz w:val="20"/>
          <w:szCs w:val="20"/>
        </w:rPr>
      </w:r>
    </w:p>
    <w:p>
      <w:pPr>
        <w:pStyle w:val="Normal"/>
        <w:widowControl w:val="false"/>
        <w:spacing w:lineRule="auto" w:line="288" w:before="120" w:after="120"/>
        <w:contextualSpacing/>
        <w:jc w:val="both"/>
        <w:rPr>
          <w:sz w:val="20"/>
          <w:szCs w:val="20"/>
        </w:rPr>
      </w:pPr>
      <w:r>
        <w:rPr>
          <w:sz w:val="20"/>
          <w:szCs w:val="20"/>
        </w:rPr>
      </w:r>
    </w:p>
    <w:p>
      <w:pPr>
        <w:pStyle w:val="Normal"/>
        <w:widowControl w:val="false"/>
        <w:spacing w:lineRule="auto" w:line="288" w:before="120" w:after="120"/>
        <w:contextualSpacing/>
        <w:jc w:val="both"/>
        <w:rPr>
          <w:sz w:val="20"/>
          <w:szCs w:val="20"/>
        </w:rPr>
      </w:pPr>
      <w:r>
        <w:rPr>
          <w:sz w:val="20"/>
          <w:szCs w:val="20"/>
        </w:rPr>
        <w:t>Пуговкин В.М.</w:t>
      </w:r>
    </w:p>
    <w:p>
      <w:pPr>
        <w:pStyle w:val="Normal"/>
        <w:widowControl w:val="false"/>
        <w:spacing w:lineRule="auto" w:line="288" w:before="120" w:after="120"/>
        <w:contextualSpacing/>
        <w:jc w:val="both"/>
        <w:rPr>
          <w:sz w:val="20"/>
          <w:szCs w:val="20"/>
        </w:rPr>
      </w:pPr>
      <w:r>
        <w:rPr>
          <w:sz w:val="20"/>
          <w:szCs w:val="20"/>
        </w:rPr>
        <w:t>Северовостоков В.В.</w:t>
      </w:r>
    </w:p>
    <w:p>
      <w:pPr>
        <w:pStyle w:val="Normal"/>
        <w:widowControl w:val="false"/>
        <w:spacing w:lineRule="auto" w:line="288" w:before="120" w:after="120"/>
        <w:contextualSpacing/>
        <w:jc w:val="both"/>
        <w:rPr>
          <w:sz w:val="20"/>
          <w:szCs w:val="20"/>
        </w:rPr>
      </w:pPr>
      <w:r>
        <w:rPr>
          <w:sz w:val="20"/>
          <w:szCs w:val="20"/>
        </w:rPr>
        <w:t>Фомичев А.С.</w:t>
      </w:r>
    </w:p>
    <w:p>
      <w:pPr>
        <w:pStyle w:val="Normal"/>
        <w:widowControl w:val="false"/>
        <w:spacing w:lineRule="auto" w:line="288" w:before="120" w:after="120"/>
        <w:contextualSpacing/>
        <w:jc w:val="both"/>
        <w:rPr>
          <w:sz w:val="20"/>
          <w:szCs w:val="20"/>
        </w:rPr>
      </w:pPr>
      <w:r>
        <w:rPr>
          <w:sz w:val="20"/>
          <w:szCs w:val="20"/>
        </w:rPr>
      </w:r>
    </w:p>
    <w:p>
      <w:pPr>
        <w:pStyle w:val="Normal"/>
        <w:widowControl w:val="false"/>
        <w:spacing w:before="120" w:after="120"/>
        <w:contextualSpacing/>
        <w:jc w:val="both"/>
        <w:rPr>
          <w:b/>
          <w:sz w:val="20"/>
          <w:szCs w:val="20"/>
        </w:rPr>
      </w:pPr>
      <w:r>
        <w:rPr>
          <w:b/>
          <w:sz w:val="20"/>
          <w:szCs w:val="20"/>
        </w:rPr>
        <w:t>ОТСУТСТВОВАЛИ: -</w:t>
      </w:r>
    </w:p>
    <w:p>
      <w:pPr>
        <w:pStyle w:val="Normal"/>
        <w:widowControl w:val="false"/>
        <w:spacing w:lineRule="auto" w:line="288" w:before="120" w:after="120"/>
        <w:contextualSpacing/>
        <w:jc w:val="both"/>
        <w:rPr>
          <w:b/>
          <w:sz w:val="20"/>
          <w:szCs w:val="20"/>
        </w:rPr>
      </w:pPr>
      <w:r>
        <w:rPr>
          <w:b/>
          <w:sz w:val="20"/>
          <w:szCs w:val="20"/>
        </w:rPr>
      </w:r>
    </w:p>
    <w:p>
      <w:pPr>
        <w:pStyle w:val="Normal"/>
        <w:widowControl w:val="false"/>
        <w:numPr>
          <w:ilvl w:val="0"/>
          <w:numId w:val="0"/>
        </w:numPr>
        <w:tabs>
          <w:tab w:val="clear" w:pos="708"/>
          <w:tab w:val="left" w:pos="851" w:leader="none"/>
        </w:tabs>
        <w:spacing w:lineRule="auto" w:line="216"/>
        <w:jc w:val="both"/>
        <w:outlineLvl w:val="0"/>
        <w:rPr/>
      </w:pPr>
      <w:r>
        <w:rPr>
          <w:b/>
          <w:sz w:val="20"/>
          <w:szCs w:val="20"/>
        </w:rPr>
        <w:t xml:space="preserve">Присутствовали 8 (восемь) из 8 (восьми) членов комиссии. </w:t>
      </w:r>
      <w:r>
        <w:rPr>
          <w:b/>
          <w:bCs/>
          <w:sz w:val="20"/>
          <w:szCs w:val="20"/>
        </w:rPr>
        <w:t>Комиссия правомочна осуществлять свои функции.</w:t>
      </w:r>
      <w:r>
        <w:rPr>
          <w:b/>
          <w:sz w:val="20"/>
          <w:szCs w:val="20"/>
        </w:rPr>
        <w:t xml:space="preserve"> Кворум для принятия решений имеется. </w:t>
      </w:r>
    </w:p>
    <w:p>
      <w:pPr>
        <w:pStyle w:val="Normal"/>
        <w:widowControl w:val="false"/>
        <w:numPr>
          <w:ilvl w:val="0"/>
          <w:numId w:val="0"/>
        </w:numPr>
        <w:tabs>
          <w:tab w:val="clear" w:pos="708"/>
          <w:tab w:val="left" w:pos="851" w:leader="none"/>
        </w:tabs>
        <w:spacing w:lineRule="auto" w:line="216"/>
        <w:jc w:val="both"/>
        <w:outlineLvl w:val="0"/>
        <w:rPr>
          <w:b/>
          <w:sz w:val="20"/>
          <w:szCs w:val="20"/>
        </w:rPr>
      </w:pPr>
      <w:r>
        <w:rPr>
          <w:b/>
          <w:sz w:val="20"/>
          <w:szCs w:val="20"/>
        </w:rPr>
      </w:r>
    </w:p>
    <w:p>
      <w:pPr>
        <w:pStyle w:val="Normal"/>
        <w:widowControl w:val="false"/>
        <w:numPr>
          <w:ilvl w:val="0"/>
          <w:numId w:val="0"/>
        </w:numPr>
        <w:tabs>
          <w:tab w:val="clear" w:pos="708"/>
          <w:tab w:val="left" w:pos="851" w:leader="none"/>
        </w:tabs>
        <w:spacing w:lineRule="auto" w:line="216"/>
        <w:jc w:val="both"/>
        <w:outlineLvl w:val="0"/>
        <w:rPr>
          <w:b/>
          <w:sz w:val="20"/>
          <w:szCs w:val="20"/>
        </w:rPr>
      </w:pPr>
      <w:r>
        <w:rPr>
          <w:b/>
          <w:sz w:val="20"/>
          <w:szCs w:val="20"/>
        </w:rPr>
      </w:r>
    </w:p>
    <w:p>
      <w:pPr>
        <w:pStyle w:val="Normal"/>
        <w:widowControl w:val="false"/>
        <w:numPr>
          <w:ilvl w:val="0"/>
          <w:numId w:val="0"/>
        </w:numPr>
        <w:tabs>
          <w:tab w:val="clear" w:pos="708"/>
          <w:tab w:val="left" w:pos="851" w:leader="none"/>
        </w:tabs>
        <w:spacing w:lineRule="auto" w:line="216"/>
        <w:jc w:val="both"/>
        <w:outlineLvl w:val="0"/>
        <w:rPr/>
      </w:pPr>
      <w:r>
        <w:rPr>
          <w:b/>
          <w:sz w:val="20"/>
          <w:szCs w:val="20"/>
        </w:rPr>
        <w:t xml:space="preserve">ВОПРОСЫ ЗАСЕДАНИЯ КОМИССИИ ПО МАРКЕТИНГОВЫМ ИССЛЕДОВАНИЯМ </w:t>
        <w:br/>
        <w:t>АО «ТЕПЛОСЕТЬ САНКТ-ПЕТЕРБУРГА»:</w:t>
      </w:r>
    </w:p>
    <w:p>
      <w:pPr>
        <w:pStyle w:val="Normal"/>
        <w:widowControl w:val="false"/>
        <w:spacing w:before="120" w:after="120"/>
        <w:jc w:val="both"/>
        <w:rPr>
          <w:b/>
          <w:sz w:val="20"/>
          <w:szCs w:val="20"/>
        </w:rPr>
      </w:pPr>
      <w:r>
        <w:rPr>
          <w:b/>
          <w:sz w:val="20"/>
          <w:szCs w:val="20"/>
        </w:rPr>
      </w:r>
    </w:p>
    <w:p>
      <w:pPr>
        <w:pStyle w:val="Normal"/>
        <w:widowControl w:val="false"/>
        <w:spacing w:before="120" w:after="120"/>
        <w:jc w:val="both"/>
        <w:rPr>
          <w:sz w:val="20"/>
          <w:szCs w:val="20"/>
        </w:rPr>
      </w:pPr>
      <w:r>
        <w:rPr>
          <w:sz w:val="20"/>
          <w:szCs w:val="20"/>
        </w:rPr>
        <w:t xml:space="preserve">На участие в закупке было подано 10 (десять) заявок: </w:t>
      </w:r>
    </w:p>
    <w:tbl>
      <w:tblPr>
        <w:tblW w:w="9923" w:type="dxa"/>
        <w:jc w:val="start"/>
        <w:tblInd w:w="108" w:type="dxa"/>
        <w:tblLayout w:type="fixed"/>
        <w:tblCellMar>
          <w:top w:w="0" w:type="dxa"/>
          <w:start w:w="108" w:type="dxa"/>
          <w:bottom w:w="0" w:type="dxa"/>
          <w:end w:w="108" w:type="dxa"/>
        </w:tblCellMar>
      </w:tblPr>
      <w:tblGrid>
        <w:gridCol w:w="709"/>
        <w:gridCol w:w="6379"/>
        <w:gridCol w:w="2835"/>
      </w:tblGrid>
      <w:tr>
        <w:trPr>
          <w:tblHeader w:val="true"/>
          <w:trHeight w:val="473" w:hRule="atLeast"/>
        </w:trPr>
        <w:tc>
          <w:tcPr>
            <w:tcW w:w="70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keepNext w:val="true"/>
              <w:spacing w:before="40" w:after="40"/>
              <w:ind w:start="-108" w:end="-108"/>
              <w:jc w:val="center"/>
              <w:rPr>
                <w:sz w:val="20"/>
                <w:szCs w:val="20"/>
              </w:rPr>
            </w:pPr>
            <w:r>
              <w:rPr>
                <w:sz w:val="20"/>
                <w:szCs w:val="20"/>
              </w:rPr>
              <w:t>№</w:t>
            </w:r>
          </w:p>
          <w:p>
            <w:pPr>
              <w:pStyle w:val="Normal"/>
              <w:keepNext w:val="true"/>
              <w:spacing w:before="40" w:after="40"/>
              <w:ind w:start="-108" w:end="-108"/>
              <w:jc w:val="center"/>
              <w:rPr>
                <w:sz w:val="20"/>
                <w:szCs w:val="20"/>
              </w:rPr>
            </w:pPr>
            <w:r>
              <w:rPr>
                <w:sz w:val="20"/>
                <w:szCs w:val="20"/>
              </w:rPr>
              <w:t>заявки</w:t>
            </w:r>
          </w:p>
        </w:tc>
        <w:tc>
          <w:tcPr>
            <w:tcW w:w="637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keepNext w:val="true"/>
              <w:spacing w:before="40" w:after="40"/>
              <w:ind w:start="57" w:end="57"/>
              <w:jc w:val="center"/>
              <w:rPr/>
            </w:pPr>
            <w:r>
              <w:rPr>
                <w:sz w:val="20"/>
                <w:szCs w:val="20"/>
              </w:rPr>
              <w:t>Наименование, ИНН, адрес Участника закупки</w:t>
            </w:r>
          </w:p>
        </w:tc>
        <w:tc>
          <w:tcPr>
            <w:tcW w:w="2835"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keepNext w:val="true"/>
              <w:spacing w:before="40" w:after="40"/>
              <w:ind w:start="57" w:end="57"/>
              <w:jc w:val="center"/>
              <w:rPr>
                <w:sz w:val="20"/>
                <w:szCs w:val="20"/>
              </w:rPr>
            </w:pPr>
            <w:r>
              <w:rPr>
                <w:sz w:val="20"/>
                <w:szCs w:val="20"/>
              </w:rPr>
              <w:t>Дата и время регистрации заявки</w:t>
            </w:r>
          </w:p>
        </w:tc>
      </w:tr>
      <w:tr>
        <w:trPr>
          <w:tblHeader w:val="true"/>
          <w:trHeight w:val="126" w:hRule="atLeast"/>
        </w:trPr>
        <w:tc>
          <w:tcPr>
            <w:tcW w:w="70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ind w:start="34" w:end="0"/>
              <w:jc w:val="center"/>
              <w:rPr>
                <w:i/>
                <w:i/>
                <w:sz w:val="20"/>
                <w:szCs w:val="20"/>
              </w:rPr>
            </w:pPr>
            <w:r>
              <w:rPr>
                <w:i/>
                <w:sz w:val="20"/>
                <w:szCs w:val="20"/>
              </w:rPr>
              <w:t>1</w:t>
            </w:r>
          </w:p>
        </w:tc>
        <w:tc>
          <w:tcPr>
            <w:tcW w:w="637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spacing w:before="40" w:after="40"/>
              <w:ind w:start="57" w:end="57"/>
              <w:jc w:val="center"/>
              <w:rPr>
                <w:i/>
                <w:i/>
                <w:sz w:val="20"/>
                <w:szCs w:val="20"/>
              </w:rPr>
            </w:pPr>
            <w:r>
              <w:rPr>
                <w:i/>
                <w:sz w:val="20"/>
                <w:szCs w:val="20"/>
              </w:rPr>
              <w:t>2</w:t>
            </w:r>
          </w:p>
        </w:tc>
        <w:tc>
          <w:tcPr>
            <w:tcW w:w="2835"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spacing w:before="40" w:after="40"/>
              <w:ind w:start="57" w:end="57"/>
              <w:jc w:val="center"/>
              <w:rPr>
                <w:i/>
                <w:i/>
                <w:sz w:val="20"/>
                <w:szCs w:val="20"/>
              </w:rPr>
            </w:pPr>
            <w:r>
              <w:rPr>
                <w:i/>
                <w:sz w:val="20"/>
                <w:szCs w:val="20"/>
              </w:rPr>
              <w:t>3</w:t>
            </w:r>
          </w:p>
        </w:tc>
      </w:tr>
      <w:tr>
        <w:trPr>
          <w:trHeight w:val="234" w:hRule="atLeast"/>
        </w:trPr>
        <w:tc>
          <w:tcPr>
            <w:tcW w:w="9923" w:type="dxa"/>
            <w:gridSpan w:val="3"/>
            <w:tcBorders>
              <w:top w:val="single" w:sz="4" w:space="0" w:color="000000"/>
              <w:start w:val="single" w:sz="4" w:space="0" w:color="000000"/>
              <w:bottom w:val="single" w:sz="4" w:space="0" w:color="000000"/>
              <w:end w:val="single" w:sz="4" w:space="0" w:color="000000"/>
            </w:tcBorders>
          </w:tcPr>
          <w:p>
            <w:pPr>
              <w:pStyle w:val="Normal"/>
              <w:jc w:val="both"/>
              <w:rPr>
                <w:b/>
                <w:sz w:val="20"/>
                <w:szCs w:val="20"/>
                <w:u w:val="single"/>
              </w:rPr>
            </w:pPr>
            <w:r>
              <w:rPr>
                <w:b/>
                <w:sz w:val="20"/>
                <w:szCs w:val="20"/>
              </w:rPr>
              <w:t>Лот № 1:</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br/>
              <w:t>5364</w:t>
            </w:r>
          </w:p>
          <w:p>
            <w:pPr>
              <w:pStyle w:val="Normal"/>
              <w:jc w:val="center"/>
              <w:rPr>
                <w:sz w:val="20"/>
                <w:szCs w:val="20"/>
              </w:rPr>
            </w:pPr>
            <w:r>
              <w:rPr>
                <w:sz w:val="20"/>
                <w:szCs w:val="20"/>
              </w:rPr>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"ЮПИТЕР"</w:t>
            </w:r>
          </w:p>
          <w:p>
            <w:pPr>
              <w:pStyle w:val="Normal"/>
              <w:rPr>
                <w:sz w:val="20"/>
                <w:szCs w:val="20"/>
              </w:rPr>
            </w:pPr>
            <w:r>
              <w:rPr>
                <w:sz w:val="20"/>
                <w:szCs w:val="20"/>
              </w:rPr>
            </w:r>
          </w:p>
          <w:p>
            <w:pPr>
              <w:pStyle w:val="Normal"/>
              <w:rPr>
                <w:sz w:val="20"/>
                <w:szCs w:val="20"/>
              </w:rPr>
            </w:pPr>
            <w:r>
              <w:rPr>
                <w:sz w:val="20"/>
                <w:szCs w:val="20"/>
              </w:rPr>
              <w:t>ИНН 5043087527</w:t>
            </w:r>
          </w:p>
          <w:p>
            <w:pPr>
              <w:pStyle w:val="Normal"/>
              <w:rPr>
                <w:sz w:val="20"/>
                <w:szCs w:val="20"/>
              </w:rPr>
            </w:pPr>
            <w:r>
              <w:rPr>
                <w:sz w:val="20"/>
                <w:szCs w:val="20"/>
              </w:rPr>
            </w:r>
          </w:p>
          <w:p>
            <w:pPr>
              <w:pStyle w:val="Normal"/>
              <w:jc w:val="both"/>
              <w:rPr>
                <w:sz w:val="20"/>
                <w:szCs w:val="20"/>
              </w:rPr>
            </w:pPr>
            <w:r>
              <w:rPr>
                <w:sz w:val="20"/>
                <w:szCs w:val="20"/>
              </w:rPr>
              <w:t>142305, Российская федерация, Московская область, Чеховский р-н, ЧЕХОВ Г, ВОЛКОВА УЛ, д. 5, оф. 5</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28.11.2025 10:26</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3713</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"ГОНГ"</w:t>
            </w:r>
          </w:p>
          <w:p>
            <w:pPr>
              <w:pStyle w:val="Normal"/>
              <w:rPr>
                <w:sz w:val="20"/>
                <w:szCs w:val="20"/>
              </w:rPr>
            </w:pPr>
            <w:r>
              <w:rPr>
                <w:sz w:val="20"/>
                <w:szCs w:val="20"/>
              </w:rPr>
            </w:r>
          </w:p>
          <w:p>
            <w:pPr>
              <w:pStyle w:val="Normal"/>
              <w:rPr>
                <w:sz w:val="20"/>
                <w:szCs w:val="20"/>
              </w:rPr>
            </w:pPr>
            <w:r>
              <w:rPr>
                <w:sz w:val="20"/>
                <w:szCs w:val="20"/>
              </w:rPr>
              <w:t>ИНН 7842471814</w:t>
            </w:r>
          </w:p>
          <w:p>
            <w:pPr>
              <w:pStyle w:val="Normal"/>
              <w:rPr>
                <w:sz w:val="20"/>
                <w:szCs w:val="20"/>
              </w:rPr>
            </w:pPr>
            <w:r>
              <w:rPr>
                <w:sz w:val="20"/>
                <w:szCs w:val="20"/>
              </w:rPr>
            </w:r>
          </w:p>
          <w:p>
            <w:pPr>
              <w:pStyle w:val="Normal"/>
              <w:rPr>
                <w:sz w:val="20"/>
                <w:szCs w:val="20"/>
              </w:rPr>
            </w:pPr>
            <w:r>
              <w:rPr>
                <w:sz w:val="20"/>
                <w:szCs w:val="20"/>
              </w:rPr>
              <w:t>191144, Г.САНКТ-ПЕТЕРБУРГ, УЛ. 8-Я СОВЕТСКАЯ, Д.37/39, ЛИТЕР А, ПОМЕЩЕНИЕ 4-Н</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28.11.2025 13:36</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8512</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"ВОДОПАД СЕРВИС ГРУПП"</w:t>
            </w:r>
          </w:p>
          <w:p>
            <w:pPr>
              <w:pStyle w:val="Normal"/>
              <w:rPr>
                <w:sz w:val="20"/>
                <w:szCs w:val="20"/>
              </w:rPr>
            </w:pPr>
            <w:r>
              <w:rPr>
                <w:sz w:val="20"/>
                <w:szCs w:val="20"/>
              </w:rPr>
            </w:r>
          </w:p>
          <w:p>
            <w:pPr>
              <w:pStyle w:val="Normal"/>
              <w:rPr>
                <w:sz w:val="20"/>
                <w:szCs w:val="20"/>
              </w:rPr>
            </w:pPr>
            <w:r>
              <w:rPr>
                <w:sz w:val="20"/>
                <w:szCs w:val="20"/>
              </w:rPr>
              <w:t>ИНН 7802718462</w:t>
            </w:r>
          </w:p>
          <w:p>
            <w:pPr>
              <w:pStyle w:val="Normal"/>
              <w:rPr>
                <w:sz w:val="20"/>
                <w:szCs w:val="20"/>
              </w:rPr>
            </w:pPr>
            <w:r>
              <w:rPr>
                <w:sz w:val="20"/>
                <w:szCs w:val="20"/>
              </w:rPr>
            </w:r>
          </w:p>
          <w:p>
            <w:pPr>
              <w:pStyle w:val="Normal"/>
              <w:jc w:val="both"/>
              <w:rPr>
                <w:sz w:val="20"/>
                <w:szCs w:val="20"/>
              </w:rPr>
            </w:pPr>
            <w:r>
              <w:rPr>
                <w:sz w:val="20"/>
                <w:szCs w:val="20"/>
              </w:rPr>
              <w:t>197342, Г.САНКТ-ПЕТЕРБУРГ, вн.тер.г. МУНИЦИПАЛЬНЫЙ ОКРУГ ЛАНСКОЕ, НАБ ВЫБОРГСКАЯ, Д. 61, ЛИТЕРА А, ПОМЕЩ. 9-Н, КОМ. 331</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01.12.2025 18:58</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2497</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"КОМПЛЕКТАЦИЯ СПБ"</w:t>
            </w:r>
          </w:p>
          <w:p>
            <w:pPr>
              <w:pStyle w:val="Normal"/>
              <w:rPr>
                <w:sz w:val="20"/>
                <w:szCs w:val="20"/>
              </w:rPr>
            </w:pPr>
            <w:r>
              <w:rPr>
                <w:sz w:val="20"/>
                <w:szCs w:val="20"/>
              </w:rPr>
            </w:r>
          </w:p>
          <w:p>
            <w:pPr>
              <w:pStyle w:val="Normal"/>
              <w:rPr>
                <w:sz w:val="20"/>
                <w:szCs w:val="20"/>
              </w:rPr>
            </w:pPr>
            <w:r>
              <w:rPr>
                <w:sz w:val="20"/>
                <w:szCs w:val="20"/>
              </w:rPr>
              <w:t>ИНН 7802800371</w:t>
            </w:r>
          </w:p>
          <w:p>
            <w:pPr>
              <w:pStyle w:val="Normal"/>
              <w:rPr>
                <w:sz w:val="20"/>
                <w:szCs w:val="20"/>
              </w:rPr>
            </w:pPr>
            <w:r>
              <w:rPr>
                <w:sz w:val="20"/>
                <w:szCs w:val="20"/>
              </w:rPr>
            </w:r>
          </w:p>
          <w:p>
            <w:pPr>
              <w:pStyle w:val="Normal"/>
              <w:jc w:val="both"/>
              <w:rPr>
                <w:sz w:val="20"/>
                <w:szCs w:val="20"/>
              </w:rPr>
            </w:pPr>
            <w:r>
              <w:rPr>
                <w:sz w:val="20"/>
                <w:szCs w:val="20"/>
              </w:rPr>
              <w:t>194044, Г.САНКТ-ПЕТЕРБУРГ, ПЕР. ЗЕЛЕНКОВ, Д. 7А, ЛИТЕРА В, ПОМЕЩ. 4Н ОФИС 220</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02.12.2025 10:01</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5530</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ИНДИВИДУАЛЬНЫЙ ПРЕДПРИНИМАТЕЛЬ ВОЛЬНОВА ОКСАНА ВАСИЛЬЕВНА</w:t>
            </w:r>
          </w:p>
          <w:p>
            <w:pPr>
              <w:pStyle w:val="Normal"/>
              <w:rPr>
                <w:sz w:val="20"/>
                <w:szCs w:val="20"/>
              </w:rPr>
            </w:pPr>
            <w:r>
              <w:rPr>
                <w:sz w:val="20"/>
                <w:szCs w:val="20"/>
              </w:rPr>
            </w:r>
          </w:p>
          <w:p>
            <w:pPr>
              <w:pStyle w:val="Normal"/>
              <w:rPr>
                <w:sz w:val="20"/>
                <w:szCs w:val="20"/>
              </w:rPr>
            </w:pPr>
            <w:r>
              <w:rPr>
                <w:sz w:val="20"/>
                <w:szCs w:val="20"/>
              </w:rPr>
              <w:t>ИНН 504000392694</w:t>
            </w:r>
          </w:p>
          <w:p>
            <w:pPr>
              <w:pStyle w:val="Normal"/>
              <w:rPr>
                <w:sz w:val="20"/>
                <w:szCs w:val="20"/>
              </w:rPr>
            </w:pPr>
            <w:r>
              <w:rPr>
                <w:sz w:val="20"/>
                <w:szCs w:val="20"/>
              </w:rPr>
            </w:r>
          </w:p>
          <w:p>
            <w:pPr>
              <w:pStyle w:val="Normal"/>
              <w:jc w:val="both"/>
              <w:rPr>
                <w:sz w:val="20"/>
                <w:szCs w:val="20"/>
              </w:rPr>
            </w:pPr>
            <w:r>
              <w:rPr>
                <w:sz w:val="20"/>
                <w:szCs w:val="20"/>
              </w:rPr>
              <w:t>140103, Российская федерация, Московская область, Раменский район, РАМЕНСКОЕ Г, ГУРЬЕВА УЛ, д. 1В, кв. 27</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02.12.2025 10:21</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br/>
              <w:t>9372</w:t>
            </w:r>
          </w:p>
          <w:p>
            <w:pPr>
              <w:pStyle w:val="Normal"/>
              <w:jc w:val="center"/>
              <w:rPr>
                <w:sz w:val="20"/>
                <w:szCs w:val="20"/>
              </w:rPr>
            </w:pPr>
            <w:r>
              <w:rPr>
                <w:sz w:val="20"/>
                <w:szCs w:val="20"/>
              </w:rPr>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АКЦИОНЕРНОЕ ОБЩЕСТВО "СИБИРСКИЕ ИНСТРУМЕНТАЛЬНЫЕ ТЕХНОЛОГИИ"</w:t>
            </w:r>
          </w:p>
          <w:p>
            <w:pPr>
              <w:pStyle w:val="Normal"/>
              <w:rPr>
                <w:sz w:val="20"/>
                <w:szCs w:val="20"/>
              </w:rPr>
            </w:pPr>
            <w:r>
              <w:rPr>
                <w:sz w:val="20"/>
                <w:szCs w:val="20"/>
              </w:rPr>
            </w:r>
          </w:p>
          <w:p>
            <w:pPr>
              <w:pStyle w:val="Normal"/>
              <w:rPr>
                <w:sz w:val="20"/>
                <w:szCs w:val="20"/>
              </w:rPr>
            </w:pPr>
            <w:r>
              <w:rPr>
                <w:sz w:val="20"/>
                <w:szCs w:val="20"/>
              </w:rPr>
              <w:t>ИНН 5407237690</w:t>
            </w:r>
          </w:p>
          <w:p>
            <w:pPr>
              <w:pStyle w:val="Normal"/>
              <w:rPr>
                <w:sz w:val="20"/>
                <w:szCs w:val="20"/>
              </w:rPr>
            </w:pPr>
            <w:r>
              <w:rPr>
                <w:sz w:val="20"/>
                <w:szCs w:val="20"/>
              </w:rPr>
            </w:r>
          </w:p>
          <w:p>
            <w:pPr>
              <w:pStyle w:val="Normal"/>
              <w:jc w:val="both"/>
              <w:rPr>
                <w:sz w:val="20"/>
                <w:szCs w:val="20"/>
              </w:rPr>
            </w:pPr>
            <w:r>
              <w:rPr>
                <w:sz w:val="20"/>
                <w:szCs w:val="20"/>
              </w:rPr>
              <w:t>630097, Российская федерация, Новосибирская область, Октябрьский, НОВОСИБИРСК Г., БЕРДСКОЕ Ш., д. Д. 20, оф. КОРПУС 13 ОФИС 1</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02.12.2025 10:40</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5516</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"ЮНИОНИНВЕСТ"</w:t>
            </w:r>
          </w:p>
          <w:p>
            <w:pPr>
              <w:pStyle w:val="Normal"/>
              <w:rPr>
                <w:sz w:val="20"/>
                <w:szCs w:val="20"/>
              </w:rPr>
            </w:pPr>
            <w:r>
              <w:rPr>
                <w:sz w:val="20"/>
                <w:szCs w:val="20"/>
              </w:rPr>
            </w:r>
          </w:p>
          <w:p>
            <w:pPr>
              <w:pStyle w:val="Normal"/>
              <w:rPr>
                <w:sz w:val="20"/>
                <w:szCs w:val="20"/>
              </w:rPr>
            </w:pPr>
            <w:r>
              <w:rPr>
                <w:sz w:val="20"/>
                <w:szCs w:val="20"/>
              </w:rPr>
              <w:t>ИНН 9704075305</w:t>
            </w:r>
          </w:p>
          <w:p>
            <w:pPr>
              <w:pStyle w:val="Normal"/>
              <w:rPr>
                <w:sz w:val="20"/>
                <w:szCs w:val="20"/>
              </w:rPr>
            </w:pPr>
            <w:r>
              <w:rPr>
                <w:sz w:val="20"/>
                <w:szCs w:val="20"/>
              </w:rPr>
            </w:r>
          </w:p>
          <w:p>
            <w:pPr>
              <w:pStyle w:val="Normal"/>
              <w:jc w:val="both"/>
              <w:rPr>
                <w:sz w:val="20"/>
                <w:szCs w:val="20"/>
              </w:rPr>
            </w:pPr>
            <w:r>
              <w:rPr>
                <w:sz w:val="20"/>
                <w:szCs w:val="20"/>
              </w:rPr>
              <w:t>125047, Российская федерация, Г. Москва, вн. тер. г. муниципальный округ Тверской, МОСКВА Г, 2-Я ТВЕРСКАЯ-ЯМСКАЯ УЛ., д. Д. 18, оф. ПОМЕЩ. 7/2</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02.12.2025 11:06</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3019</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"ВОЛЖСКАЯ ТЕНДЕРНАЯ КОМПАНИЯ"</w:t>
            </w:r>
          </w:p>
          <w:p>
            <w:pPr>
              <w:pStyle w:val="Normal"/>
              <w:rPr>
                <w:sz w:val="20"/>
                <w:szCs w:val="20"/>
              </w:rPr>
            </w:pPr>
            <w:r>
              <w:rPr>
                <w:sz w:val="20"/>
                <w:szCs w:val="20"/>
              </w:rPr>
            </w:r>
          </w:p>
          <w:p>
            <w:pPr>
              <w:pStyle w:val="Normal"/>
              <w:rPr>
                <w:sz w:val="20"/>
                <w:szCs w:val="20"/>
              </w:rPr>
            </w:pPr>
            <w:r>
              <w:rPr>
                <w:sz w:val="20"/>
                <w:szCs w:val="20"/>
              </w:rPr>
              <w:t>ИНН 6319245750</w:t>
            </w:r>
          </w:p>
          <w:p>
            <w:pPr>
              <w:pStyle w:val="Normal"/>
              <w:rPr>
                <w:sz w:val="20"/>
                <w:szCs w:val="20"/>
              </w:rPr>
            </w:pPr>
            <w:r>
              <w:rPr>
                <w:sz w:val="20"/>
                <w:szCs w:val="20"/>
              </w:rPr>
            </w:r>
          </w:p>
          <w:p>
            <w:pPr>
              <w:pStyle w:val="Normal"/>
              <w:jc w:val="both"/>
              <w:rPr>
                <w:sz w:val="20"/>
                <w:szCs w:val="20"/>
              </w:rPr>
            </w:pPr>
            <w:r>
              <w:rPr>
                <w:sz w:val="20"/>
                <w:szCs w:val="20"/>
              </w:rPr>
              <w:t>443022, САМАРСКАЯ ОБЛАСТЬ, Г. САМАРА, ПР-КТ КИРОВА, Д. 10, ОФИС 2</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02.12.2025 11:22</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4414</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"ДОНЭЛЕКТРОТОРГ"</w:t>
            </w:r>
          </w:p>
          <w:p>
            <w:pPr>
              <w:pStyle w:val="Normal"/>
              <w:rPr>
                <w:sz w:val="20"/>
                <w:szCs w:val="20"/>
              </w:rPr>
            </w:pPr>
            <w:r>
              <w:rPr>
                <w:sz w:val="20"/>
                <w:szCs w:val="20"/>
              </w:rPr>
            </w:r>
          </w:p>
          <w:p>
            <w:pPr>
              <w:pStyle w:val="Normal"/>
              <w:rPr>
                <w:sz w:val="20"/>
                <w:szCs w:val="20"/>
              </w:rPr>
            </w:pPr>
            <w:r>
              <w:rPr>
                <w:sz w:val="20"/>
                <w:szCs w:val="20"/>
              </w:rPr>
              <w:t>ИНН 6161083979</w:t>
            </w:r>
          </w:p>
          <w:p>
            <w:pPr>
              <w:pStyle w:val="Normal"/>
              <w:rPr>
                <w:sz w:val="20"/>
                <w:szCs w:val="20"/>
              </w:rPr>
            </w:pPr>
            <w:r>
              <w:rPr>
                <w:sz w:val="20"/>
                <w:szCs w:val="20"/>
              </w:rPr>
            </w:r>
          </w:p>
          <w:p>
            <w:pPr>
              <w:pStyle w:val="Normal"/>
              <w:jc w:val="both"/>
              <w:rPr>
                <w:sz w:val="20"/>
                <w:szCs w:val="20"/>
              </w:rPr>
            </w:pPr>
            <w:r>
              <w:rPr>
                <w:sz w:val="20"/>
                <w:szCs w:val="20"/>
              </w:rPr>
              <w:t>344091, РОСТОВСКАЯ ОБЛАСТЬ, г.о. ГОРОД РОСТОВ-НА-ДОНУ, Г РОСТОВ-НА-ДОНУ, УЛ 2-Я КРАСНОДАРСКАЯ, Д. 96/7</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02.12.2025 11:54</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3463</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"ПИРС"</w:t>
            </w:r>
          </w:p>
          <w:p>
            <w:pPr>
              <w:pStyle w:val="Normal"/>
              <w:rPr>
                <w:sz w:val="20"/>
                <w:szCs w:val="20"/>
              </w:rPr>
            </w:pPr>
            <w:r>
              <w:rPr>
                <w:sz w:val="20"/>
                <w:szCs w:val="20"/>
              </w:rPr>
            </w:r>
          </w:p>
          <w:p>
            <w:pPr>
              <w:pStyle w:val="Normal"/>
              <w:rPr>
                <w:sz w:val="20"/>
                <w:szCs w:val="20"/>
              </w:rPr>
            </w:pPr>
            <w:r>
              <w:rPr>
                <w:sz w:val="20"/>
                <w:szCs w:val="20"/>
              </w:rPr>
              <w:t>ИНН 7801381872</w:t>
            </w:r>
          </w:p>
          <w:p>
            <w:pPr>
              <w:pStyle w:val="Normal"/>
              <w:rPr>
                <w:sz w:val="20"/>
                <w:szCs w:val="20"/>
              </w:rPr>
            </w:pPr>
            <w:r>
              <w:rPr>
                <w:sz w:val="20"/>
                <w:szCs w:val="20"/>
              </w:rPr>
            </w:r>
          </w:p>
          <w:p>
            <w:pPr>
              <w:pStyle w:val="Normal"/>
              <w:jc w:val="both"/>
              <w:rPr>
                <w:sz w:val="20"/>
                <w:szCs w:val="20"/>
              </w:rPr>
            </w:pPr>
            <w:r>
              <w:rPr>
                <w:sz w:val="20"/>
                <w:szCs w:val="20"/>
              </w:rPr>
              <w:t>198095, Г.САНКТ-ПЕТЕРБУРГ, вн.тер.г. МУНИЦИПАЛЬНЫЙ ОКРУГ НАРВСКИЙ ОКРУГ, УЛ ИВАНА ЧЕРНЫХ, Д. 29, ЛИТЕРА А, ПОМЕЩ. 50-Н/4, КОМ. ОФИС 19Ч</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02.12.2025 11:57</w:t>
            </w:r>
          </w:p>
        </w:tc>
      </w:tr>
    </w:tbl>
    <w:p>
      <w:pPr>
        <w:pStyle w:val="Normal"/>
        <w:widowControl w:val="false"/>
        <w:spacing w:before="120" w:after="120"/>
        <w:rPr>
          <w:b/>
          <w:sz w:val="20"/>
          <w:szCs w:val="20"/>
        </w:rPr>
      </w:pPr>
      <w:r>
        <w:rPr>
          <w:b/>
          <w:sz w:val="20"/>
          <w:szCs w:val="20"/>
        </w:rPr>
      </w:r>
    </w:p>
    <w:p>
      <w:pPr>
        <w:pStyle w:val="Normal"/>
        <w:widowControl w:val="false"/>
        <w:spacing w:before="120" w:after="120"/>
        <w:rPr/>
      </w:pPr>
      <w:r>
        <w:rPr>
          <w:b/>
          <w:sz w:val="20"/>
          <w:szCs w:val="20"/>
        </w:rPr>
        <w:t>Вопрос 1 повестки:</w:t>
      </w:r>
    </w:p>
    <w:p>
      <w:pPr>
        <w:pStyle w:val="Normal"/>
        <w:widowControl w:val="false"/>
        <w:spacing w:before="120" w:after="120"/>
        <w:ind w:firstLine="567" w:end="0"/>
        <w:contextualSpacing/>
        <w:jc w:val="both"/>
        <w:rPr>
          <w:sz w:val="20"/>
          <w:szCs w:val="20"/>
        </w:rPr>
      </w:pPr>
      <w:r>
        <w:rPr>
          <w:sz w:val="20"/>
          <w:szCs w:val="20"/>
        </w:rPr>
        <w:t>Об одобрении</w:t>
      </w:r>
      <w:r>
        <w:rPr>
          <w:i/>
          <w:sz w:val="20"/>
          <w:szCs w:val="20"/>
        </w:rPr>
        <w:t xml:space="preserve"> </w:t>
      </w:r>
      <w:r>
        <w:rPr>
          <w:sz w:val="20"/>
          <w:szCs w:val="20"/>
        </w:rPr>
        <w:t>Сводного заключения Экспертного совета по рассмотрению заявок и подведению итогов открытых маркетинговых исследований.</w:t>
      </w:r>
    </w:p>
    <w:p>
      <w:pPr>
        <w:pStyle w:val="Normal"/>
        <w:widowControl w:val="false"/>
        <w:spacing w:before="120" w:after="120"/>
        <w:ind w:firstLine="567" w:end="0"/>
        <w:contextualSpacing/>
        <w:jc w:val="both"/>
        <w:rPr>
          <w:sz w:val="20"/>
          <w:szCs w:val="20"/>
        </w:rPr>
      </w:pPr>
      <w:r>
        <w:rPr>
          <w:sz w:val="20"/>
          <w:szCs w:val="20"/>
        </w:rPr>
        <w:t xml:space="preserve">Члены Комиссии по маркетинговым исследованиям АО «Теплосеть Санкт-Петербурга» изучили поступившие заявки. Результаты оценки сведены в Сводном заключении Экспертного совета по рассмотрению заявок и подведению итогов открытых маркетинговых исследований (Приложение № 1). </w:t>
      </w:r>
    </w:p>
    <w:p>
      <w:pPr>
        <w:pStyle w:val="Normal"/>
        <w:widowControl w:val="false"/>
        <w:spacing w:before="120" w:after="120"/>
        <w:ind w:firstLine="567" w:end="0"/>
        <w:contextualSpacing/>
        <w:jc w:val="both"/>
        <w:rPr>
          <w:sz w:val="20"/>
          <w:szCs w:val="20"/>
        </w:rPr>
      </w:pPr>
      <w:r>
        <w:rPr>
          <w:sz w:val="20"/>
          <w:szCs w:val="20"/>
        </w:rPr>
        <w:t>Комиссии по маркетинговым исследованиям АО «Теплосеть Санкт-Петербурга» предлагается одобрить Сводное заключение Экспертного совета по рассмотрению заявок и подведению итогов открытых маркетинговых исследований.</w:t>
      </w:r>
    </w:p>
    <w:p>
      <w:pPr>
        <w:pStyle w:val="Normal"/>
        <w:widowControl w:val="false"/>
        <w:spacing w:before="120" w:after="120"/>
        <w:rPr>
          <w:b/>
          <w:sz w:val="20"/>
          <w:szCs w:val="20"/>
        </w:rPr>
      </w:pPr>
      <w:r>
        <w:rPr>
          <w:b/>
          <w:sz w:val="20"/>
          <w:szCs w:val="20"/>
        </w:rPr>
      </w:r>
    </w:p>
    <w:p>
      <w:pPr>
        <w:pStyle w:val="Normal"/>
        <w:widowControl w:val="false"/>
        <w:spacing w:before="120" w:after="120"/>
        <w:rPr/>
      </w:pPr>
      <w:r>
        <w:rPr>
          <w:b/>
          <w:sz w:val="20"/>
          <w:szCs w:val="20"/>
        </w:rPr>
        <w:t>Вопрос 2 повестки:</w:t>
      </w:r>
    </w:p>
    <w:p>
      <w:pPr>
        <w:pStyle w:val="Normal"/>
        <w:ind w:firstLine="567" w:end="0"/>
        <w:jc w:val="both"/>
        <w:rPr>
          <w:sz w:val="20"/>
          <w:szCs w:val="20"/>
        </w:rPr>
      </w:pPr>
      <w:r>
        <w:rPr>
          <w:sz w:val="20"/>
          <w:szCs w:val="20"/>
        </w:rPr>
        <w:t xml:space="preserve">О признании заявок: </w:t>
      </w:r>
    </w:p>
    <w:p>
      <w:pPr>
        <w:pStyle w:val="Normal"/>
        <w:rPr/>
      </w:pPr>
      <w:r>
        <w:rPr>
          <w:sz w:val="20"/>
          <w:szCs w:val="20"/>
        </w:rPr>
        <w:t>- ОБЩЕСТВА С ОГРАНИЧЕННОЙ ОТВЕТСТВЕННОСТЬЮ "ЮПИТЕР"</w:t>
      </w:r>
    </w:p>
    <w:p>
      <w:pPr>
        <w:pStyle w:val="Normal"/>
        <w:rPr>
          <w:sz w:val="20"/>
          <w:szCs w:val="20"/>
        </w:rPr>
      </w:pPr>
      <w:r>
        <w:rPr>
          <w:sz w:val="20"/>
          <w:szCs w:val="20"/>
        </w:rPr>
        <w:t>- ОБЩЕСТВА С ОГРАНИЧЕННОЙ ОТВЕТСТВЕННОСТЬЮ "ВОДОПАД СЕРВИС ГРУПП"</w:t>
      </w:r>
    </w:p>
    <w:p>
      <w:pPr>
        <w:pStyle w:val="Normal"/>
        <w:rPr>
          <w:sz w:val="20"/>
          <w:szCs w:val="20"/>
        </w:rPr>
      </w:pPr>
      <w:r>
        <w:rPr>
          <w:sz w:val="20"/>
          <w:szCs w:val="20"/>
        </w:rPr>
        <w:t>- ОБЩЕСТВА С ОГРАНИЧЕННОЙ ОТВЕТСТВЕННОСТЬЮ "КОМПЛЕКТАЦИЯ СПБ"</w:t>
      </w:r>
    </w:p>
    <w:p>
      <w:pPr>
        <w:pStyle w:val="Normal"/>
        <w:rPr>
          <w:sz w:val="20"/>
          <w:szCs w:val="20"/>
        </w:rPr>
      </w:pPr>
      <w:r>
        <w:rPr>
          <w:sz w:val="20"/>
          <w:szCs w:val="20"/>
        </w:rPr>
        <w:t>- АКЦИОНЕРНОГО ОБЩЕСТВА "СИБИРСКИЕ ИНСТРУМЕНТАЛЬНЫЕ ТЕХНОЛОГИИ"</w:t>
      </w:r>
    </w:p>
    <w:p>
      <w:pPr>
        <w:pStyle w:val="Normal"/>
        <w:rPr>
          <w:sz w:val="20"/>
          <w:szCs w:val="20"/>
        </w:rPr>
      </w:pPr>
      <w:r>
        <w:rPr>
          <w:sz w:val="20"/>
          <w:szCs w:val="20"/>
        </w:rPr>
        <w:t>- ОБЩЕСТВА С ОГРАНИЧЕННОЙ ОТВЕТСТВЕННОСТЬЮ "ЮНИОНИНВЕСТ"</w:t>
      </w:r>
    </w:p>
    <w:p>
      <w:pPr>
        <w:pStyle w:val="Normal"/>
        <w:rPr>
          <w:sz w:val="20"/>
          <w:szCs w:val="20"/>
        </w:rPr>
      </w:pPr>
      <w:r>
        <w:rPr>
          <w:sz w:val="20"/>
          <w:szCs w:val="20"/>
        </w:rPr>
        <w:t>- ОБЩЕСТВА С ОГРАНИЧЕННОЙ ОТВЕТСТВЕННОСТЬЮ "ДОНЭЛЕКТРОТОРГ"</w:t>
      </w:r>
    </w:p>
    <w:p>
      <w:pPr>
        <w:pStyle w:val="Normal"/>
        <w:rPr/>
      </w:pPr>
      <w:r>
        <w:rPr>
          <w:sz w:val="20"/>
          <w:szCs w:val="20"/>
        </w:rPr>
        <w:t>- ОБЩЕСТВА С ОГРАНИЧЕННОЙ ОТВЕТСТВЕННОСТЬЮ "ПИРС"</w:t>
      </w:r>
    </w:p>
    <w:p>
      <w:pPr>
        <w:pStyle w:val="Normal"/>
        <w:ind w:firstLine="567" w:end="0"/>
        <w:jc w:val="both"/>
        <w:rPr/>
      </w:pPr>
      <w:r>
        <w:rPr>
          <w:sz w:val="20"/>
          <w:szCs w:val="20"/>
        </w:rPr>
        <w:t xml:space="preserve">соответствующими условиям закупки. </w:t>
      </w:r>
    </w:p>
    <w:p>
      <w:pPr>
        <w:pStyle w:val="Normal"/>
        <w:ind w:firstLine="567" w:end="0"/>
        <w:jc w:val="both"/>
        <w:rPr>
          <w:sz w:val="20"/>
          <w:szCs w:val="20"/>
        </w:rPr>
      </w:pPr>
      <w:r>
        <w:rPr>
          <w:sz w:val="20"/>
          <w:szCs w:val="20"/>
        </w:rPr>
      </w:r>
    </w:p>
    <w:p>
      <w:pPr>
        <w:pStyle w:val="Normal"/>
        <w:widowControl w:val="false"/>
        <w:spacing w:before="120" w:after="120"/>
        <w:rPr>
          <w:b/>
          <w:sz w:val="20"/>
          <w:szCs w:val="20"/>
        </w:rPr>
      </w:pPr>
      <w:r>
        <w:rPr>
          <w:b/>
          <w:sz w:val="20"/>
          <w:szCs w:val="20"/>
        </w:rPr>
        <w:t>Вопрос 3 повестки:</w:t>
      </w:r>
    </w:p>
    <w:p>
      <w:pPr>
        <w:pStyle w:val="Normal"/>
        <w:ind w:firstLine="567" w:end="0"/>
        <w:rPr>
          <w:sz w:val="20"/>
          <w:szCs w:val="20"/>
        </w:rPr>
      </w:pPr>
      <w:r>
        <w:rPr>
          <w:sz w:val="20"/>
          <w:szCs w:val="20"/>
        </w:rPr>
        <w:t xml:space="preserve">Об отклонении заявок: </w:t>
      </w:r>
    </w:p>
    <w:p>
      <w:pPr>
        <w:pStyle w:val="Normal"/>
        <w:rPr/>
      </w:pPr>
      <w:r>
        <w:rPr>
          <w:sz w:val="20"/>
          <w:szCs w:val="20"/>
        </w:rPr>
        <w:t>- ОБЩЕСТВА С ОГРАНИЧЕННОЙ ОТВЕТСТВЕННОСТЬЮ "ГОНГ"</w:t>
      </w:r>
    </w:p>
    <w:p>
      <w:pPr>
        <w:pStyle w:val="Normal"/>
        <w:ind w:firstLine="567" w:end="0"/>
        <w:rPr>
          <w:b/>
          <w:sz w:val="20"/>
          <w:szCs w:val="20"/>
          <w:u w:val="single"/>
        </w:rPr>
      </w:pPr>
      <w:r>
        <w:rPr>
          <w:b/>
          <w:sz w:val="20"/>
          <w:szCs w:val="20"/>
          <w:u w:val="single"/>
        </w:rPr>
        <w:t>Причина отклонения:</w:t>
      </w:r>
    </w:p>
    <w:p>
      <w:pPr>
        <w:pStyle w:val="Normal"/>
        <w:ind w:firstLine="567" w:end="0"/>
        <w:jc w:val="both"/>
        <w:rPr>
          <w:sz w:val="20"/>
          <w:szCs w:val="20"/>
        </w:rPr>
      </w:pPr>
      <w:r>
        <w:rPr>
          <w:sz w:val="20"/>
          <w:szCs w:val="20"/>
        </w:rPr>
        <w:t>Срок действия оферты менее 90 (девяносто) дней.</w:t>
      </w:r>
    </w:p>
    <w:p>
      <w:pPr>
        <w:pStyle w:val="Normal"/>
        <w:ind w:firstLine="567" w:end="0"/>
        <w:jc w:val="both"/>
        <w:rPr>
          <w:sz w:val="20"/>
          <w:szCs w:val="20"/>
        </w:rPr>
      </w:pPr>
      <w:r>
        <w:rPr>
          <w:sz w:val="20"/>
          <w:szCs w:val="20"/>
        </w:rPr>
        <w:t>Отклонение на основании п.2.6.6 Документации (установления факта указания меньшего срока действия Заявки в соответствии с п. 1.12. Документации).</w:t>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pPr>
      <w:r>
        <w:rPr>
          <w:sz w:val="20"/>
          <w:szCs w:val="20"/>
        </w:rPr>
        <w:t>- ИНДИВИДУАЛЬНОГО ПРЕДПРИНИМАТЕЛЯ ВОЛЬНОВОЙ ОКСАНЫ ВАСИЛЬЕВНЫ</w:t>
      </w:r>
    </w:p>
    <w:p>
      <w:pPr>
        <w:pStyle w:val="Normal"/>
        <w:ind w:firstLine="567" w:end="0"/>
        <w:jc w:val="both"/>
        <w:rPr>
          <w:b/>
          <w:sz w:val="20"/>
          <w:szCs w:val="20"/>
          <w:u w:val="single"/>
        </w:rPr>
      </w:pPr>
      <w:r>
        <w:rPr>
          <w:b/>
          <w:sz w:val="20"/>
          <w:szCs w:val="20"/>
          <w:u w:val="single"/>
        </w:rPr>
        <w:t>Причина отклонения:</w:t>
      </w:r>
    </w:p>
    <w:p>
      <w:pPr>
        <w:pStyle w:val="Normal"/>
        <w:ind w:firstLine="567" w:end="0"/>
        <w:jc w:val="both"/>
        <w:rPr>
          <w:sz w:val="20"/>
          <w:szCs w:val="20"/>
        </w:rPr>
      </w:pPr>
      <w:r>
        <w:rPr>
          <w:sz w:val="20"/>
          <w:szCs w:val="20"/>
        </w:rPr>
        <w:t>Участник в предложении об объекте закупки (приложение к тех. предложению) в позиции 6 указал технические характеристики, не соответствующие Техническому заданию.</w:t>
      </w:r>
    </w:p>
    <w:p>
      <w:pPr>
        <w:pStyle w:val="Normal"/>
        <w:ind w:firstLine="567" w:end="0"/>
        <w:jc w:val="both"/>
        <w:rPr>
          <w:sz w:val="20"/>
          <w:szCs w:val="20"/>
        </w:rPr>
      </w:pPr>
      <w:r>
        <w:rPr>
          <w:sz w:val="20"/>
          <w:szCs w:val="20"/>
        </w:rPr>
        <w:t>Отклонение на основании п.2.6.6 Документации об открытых маркетинговых исследованиях в электронной форме.</w:t>
      </w:r>
    </w:p>
    <w:p>
      <w:pPr>
        <w:pStyle w:val="Normal"/>
        <w:ind w:firstLine="567" w:end="0"/>
        <w:rPr>
          <w:b/>
          <w:sz w:val="20"/>
          <w:szCs w:val="20"/>
          <w:u w:val="single"/>
        </w:rPr>
      </w:pPr>
      <w:r>
        <w:rPr>
          <w:b/>
          <w:sz w:val="20"/>
          <w:szCs w:val="20"/>
          <w:u w:val="single"/>
        </w:rPr>
      </w:r>
    </w:p>
    <w:p>
      <w:pPr>
        <w:pStyle w:val="Normal"/>
        <w:rPr/>
      </w:pPr>
      <w:r>
        <w:rPr>
          <w:b/>
          <w:sz w:val="20"/>
          <w:szCs w:val="20"/>
        </w:rPr>
        <w:t>-</w:t>
      </w:r>
      <w:r>
        <w:rPr>
          <w:sz w:val="20"/>
          <w:szCs w:val="20"/>
        </w:rPr>
        <w:t xml:space="preserve"> ОБЩЕСТВА С ОГРАНИЧЕННОЙ ОТВЕТСТВЕННОСТЬЮ "ВОЛЖСКАЯ ТЕНДЕРНАЯ КОМПАНИЯ"</w:t>
      </w:r>
    </w:p>
    <w:p>
      <w:pPr>
        <w:pStyle w:val="Normal"/>
        <w:ind w:firstLine="567" w:end="0"/>
        <w:rPr>
          <w:b/>
          <w:sz w:val="20"/>
          <w:szCs w:val="20"/>
          <w:u w:val="single"/>
        </w:rPr>
      </w:pPr>
      <w:r>
        <w:rPr>
          <w:b/>
          <w:sz w:val="20"/>
          <w:szCs w:val="20"/>
          <w:u w:val="single"/>
        </w:rPr>
        <w:t>Причина отклонения:</w:t>
      </w:r>
    </w:p>
    <w:p>
      <w:pPr>
        <w:pStyle w:val="Normal"/>
        <w:ind w:firstLine="567" w:end="0"/>
        <w:jc w:val="both"/>
        <w:rPr>
          <w:sz w:val="20"/>
          <w:szCs w:val="20"/>
        </w:rPr>
      </w:pPr>
      <w:r>
        <w:rPr>
          <w:sz w:val="20"/>
          <w:szCs w:val="20"/>
        </w:rPr>
        <w:t>Срок действия оферты менее 90 (девяносто) дней.</w:t>
      </w:r>
    </w:p>
    <w:p>
      <w:pPr>
        <w:pStyle w:val="Normal"/>
        <w:ind w:firstLine="567" w:end="0"/>
        <w:jc w:val="both"/>
        <w:rPr>
          <w:sz w:val="20"/>
          <w:szCs w:val="20"/>
        </w:rPr>
      </w:pPr>
      <w:r>
        <w:rPr>
          <w:sz w:val="20"/>
          <w:szCs w:val="20"/>
        </w:rPr>
        <w:t>Отклонение на основании п.2.6.6 Документации (установления факта указания меньшего срока действия Заявки в соответствии с п. 1.12. Документации).</w:t>
      </w:r>
    </w:p>
    <w:p>
      <w:pPr>
        <w:pStyle w:val="Normal"/>
        <w:ind w:firstLine="567" w:end="0"/>
        <w:jc w:val="both"/>
        <w:rPr>
          <w:b/>
          <w:sz w:val="20"/>
          <w:szCs w:val="20"/>
        </w:rPr>
      </w:pPr>
      <w:r>
        <w:rPr>
          <w:b/>
          <w:sz w:val="20"/>
          <w:szCs w:val="20"/>
        </w:rPr>
      </w:r>
    </w:p>
    <w:p>
      <w:pPr>
        <w:pStyle w:val="Normal"/>
        <w:widowControl w:val="false"/>
        <w:spacing w:before="120" w:after="120"/>
        <w:rPr>
          <w:b/>
          <w:sz w:val="20"/>
          <w:szCs w:val="20"/>
        </w:rPr>
      </w:pPr>
      <w:r>
        <w:rPr>
          <w:b/>
          <w:sz w:val="20"/>
          <w:szCs w:val="20"/>
        </w:rPr>
        <w:t>Вопрос 4 повестки:</w:t>
      </w:r>
    </w:p>
    <w:p>
      <w:pPr>
        <w:pStyle w:val="Normal"/>
        <w:widowControl w:val="false"/>
        <w:spacing w:before="120" w:after="120"/>
        <w:ind w:firstLine="567" w:end="0"/>
        <w:contextualSpacing/>
        <w:jc w:val="both"/>
        <w:rPr>
          <w:sz w:val="20"/>
          <w:szCs w:val="20"/>
        </w:rPr>
      </w:pPr>
      <w:r>
        <w:rPr>
          <w:sz w:val="20"/>
          <w:szCs w:val="20"/>
        </w:rPr>
        <w:t>О выборе наиболее выгодных условий поставки товара.</w:t>
      </w:r>
    </w:p>
    <w:p>
      <w:pPr>
        <w:pStyle w:val="Normal"/>
        <w:jc w:val="both"/>
        <w:rPr>
          <w:sz w:val="20"/>
          <w:szCs w:val="20"/>
        </w:rPr>
      </w:pPr>
      <w:r>
        <w:rPr>
          <w:sz w:val="20"/>
          <w:szCs w:val="20"/>
        </w:rPr>
        <w:t>Предлагается выбрать наиболее выгодные условия поставки товара в заявке ОБЩЕСТВА С ОГРАНИЧЕННОЙ ОТВЕТСТВЕННОСТЬЮ "ВОДОПАД СЕРВИС ГРУПП".</w:t>
      </w:r>
    </w:p>
    <w:p>
      <w:pPr>
        <w:pStyle w:val="Normal"/>
        <w:ind w:firstLine="567" w:end="0"/>
        <w:jc w:val="both"/>
        <w:rPr>
          <w:b/>
          <w:sz w:val="20"/>
          <w:szCs w:val="20"/>
        </w:rPr>
      </w:pPr>
      <w:r>
        <w:rPr>
          <w:b/>
          <w:sz w:val="20"/>
          <w:szCs w:val="20"/>
        </w:rPr>
      </w:r>
    </w:p>
    <w:p>
      <w:pPr>
        <w:pStyle w:val="Normal"/>
        <w:spacing w:before="120" w:after="120"/>
        <w:rPr/>
      </w:pPr>
      <w:r>
        <w:rPr>
          <w:b/>
          <w:sz w:val="20"/>
          <w:szCs w:val="20"/>
        </w:rPr>
        <w:t>Вопрос 5 повестки:</w:t>
      </w:r>
    </w:p>
    <w:p>
      <w:pPr>
        <w:pStyle w:val="Normal"/>
        <w:spacing w:before="120" w:after="120"/>
        <w:ind w:firstLine="567" w:end="0"/>
        <w:contextualSpacing/>
        <w:jc w:val="both"/>
        <w:rPr/>
      </w:pPr>
      <w:r>
        <w:rPr>
          <w:sz w:val="20"/>
          <w:szCs w:val="20"/>
        </w:rPr>
        <w:t>О возможности проведения преддоговорных переговоров с победителем.</w:t>
      </w:r>
    </w:p>
    <w:p>
      <w:pPr>
        <w:pStyle w:val="Normal"/>
        <w:jc w:val="both"/>
        <w:rPr>
          <w:sz w:val="20"/>
          <w:szCs w:val="20"/>
        </w:rPr>
      </w:pPr>
      <w:r>
        <w:rPr>
          <w:sz w:val="20"/>
          <w:szCs w:val="20"/>
        </w:rPr>
        <w:t>В целях уточнения несущественных для заказчика условий договора, а также улучшения технико-коммерческого предложения победителя допускается проведение преддоговорных переговоров с ОБЩЕСТВОМ С ОГРАНИЧЕННОЙ ОТВЕТСТВЕННОСТЬЮ "ВОДОПАД СЕРВИС ГРУПП".</w:t>
      </w:r>
    </w:p>
    <w:p>
      <w:pPr>
        <w:pStyle w:val="Normal"/>
        <w:spacing w:before="0" w:after="0"/>
        <w:ind w:firstLine="567" w:end="0"/>
        <w:contextualSpacing/>
        <w:jc w:val="both"/>
        <w:rPr>
          <w:b/>
          <w:sz w:val="20"/>
          <w:szCs w:val="20"/>
        </w:rPr>
      </w:pPr>
      <w:r>
        <w:rPr>
          <w:sz w:val="20"/>
          <w:szCs w:val="20"/>
        </w:rPr>
        <w:t>Зафиксировать результат преддоговорных переговоров в окончательных условиях заключаемого договора.</w:t>
      </w:r>
    </w:p>
    <w:p>
      <w:pPr>
        <w:pStyle w:val="Normal"/>
        <w:widowControl w:val="false"/>
        <w:spacing w:before="120" w:after="120"/>
        <w:rPr>
          <w:b/>
          <w:sz w:val="20"/>
          <w:szCs w:val="20"/>
        </w:rPr>
      </w:pPr>
      <w:r>
        <w:rPr>
          <w:b/>
          <w:sz w:val="20"/>
          <w:szCs w:val="20"/>
        </w:rPr>
      </w:r>
    </w:p>
    <w:p>
      <w:pPr>
        <w:pStyle w:val="Normal"/>
        <w:widowControl w:val="false"/>
        <w:spacing w:before="120" w:after="120"/>
        <w:rPr>
          <w:b/>
          <w:sz w:val="20"/>
          <w:szCs w:val="20"/>
        </w:rPr>
      </w:pPr>
      <w:r>
        <w:rPr>
          <w:b/>
          <w:sz w:val="20"/>
          <w:szCs w:val="20"/>
        </w:rPr>
      </w:r>
    </w:p>
    <w:p>
      <w:pPr>
        <w:pStyle w:val="Normal"/>
        <w:widowControl w:val="false"/>
        <w:spacing w:before="120" w:after="120"/>
        <w:rPr>
          <w:b/>
          <w:sz w:val="20"/>
          <w:szCs w:val="20"/>
        </w:rPr>
      </w:pPr>
      <w:r>
        <w:rPr>
          <w:b/>
          <w:sz w:val="20"/>
          <w:szCs w:val="20"/>
        </w:rPr>
        <w:t>РЕШИЛИ:</w:t>
      </w:r>
    </w:p>
    <w:p>
      <w:pPr>
        <w:pStyle w:val="Normal"/>
        <w:widowControl w:val="false"/>
        <w:numPr>
          <w:ilvl w:val="0"/>
          <w:numId w:val="2"/>
        </w:numPr>
        <w:tabs>
          <w:tab w:val="clear" w:pos="708"/>
          <w:tab w:val="left" w:pos="-2835" w:leader="none"/>
          <w:tab w:val="left" w:pos="284" w:leader="none"/>
        </w:tabs>
        <w:spacing w:before="120" w:after="0"/>
        <w:ind w:hanging="0" w:start="0" w:end="0"/>
        <w:contextualSpacing/>
        <w:jc w:val="both"/>
        <w:rPr>
          <w:sz w:val="20"/>
          <w:szCs w:val="20"/>
        </w:rPr>
      </w:pPr>
      <w:r>
        <w:rPr>
          <w:sz w:val="20"/>
          <w:szCs w:val="20"/>
        </w:rPr>
        <w:t>Одобрить Сводное заключение Экспертного совета по рассмотрению заявок и подведению итогов открытых маркетинговых исследований.</w:t>
      </w:r>
    </w:p>
    <w:p>
      <w:pPr>
        <w:pStyle w:val="Normal"/>
        <w:widowControl w:val="false"/>
        <w:tabs>
          <w:tab w:val="clear" w:pos="708"/>
          <w:tab w:val="left" w:pos="-2835" w:leader="none"/>
          <w:tab w:val="left" w:pos="284" w:leader="none"/>
        </w:tabs>
        <w:spacing w:before="120" w:after="0"/>
        <w:contextualSpacing/>
        <w:jc w:val="both"/>
        <w:rPr>
          <w:sz w:val="20"/>
          <w:szCs w:val="20"/>
        </w:rPr>
      </w:pPr>
      <w:r>
        <w:rPr>
          <w:sz w:val="20"/>
          <w:szCs w:val="20"/>
        </w:rPr>
      </w:r>
    </w:p>
    <w:p>
      <w:pPr>
        <w:pStyle w:val="Normal"/>
        <w:widowControl w:val="false"/>
        <w:numPr>
          <w:ilvl w:val="0"/>
          <w:numId w:val="2"/>
        </w:numPr>
        <w:tabs>
          <w:tab w:val="clear" w:pos="708"/>
          <w:tab w:val="left" w:pos="-2835" w:leader="none"/>
          <w:tab w:val="left" w:pos="284" w:leader="none"/>
        </w:tabs>
        <w:spacing w:before="120" w:after="0"/>
        <w:ind w:hanging="0" w:start="0" w:end="0"/>
        <w:contextualSpacing/>
        <w:jc w:val="both"/>
        <w:rPr>
          <w:sz w:val="20"/>
          <w:szCs w:val="20"/>
        </w:rPr>
      </w:pPr>
      <w:r>
        <w:rPr>
          <w:sz w:val="20"/>
          <w:szCs w:val="20"/>
        </w:rPr>
        <w:t xml:space="preserve">Признать заявки: </w:t>
      </w:r>
    </w:p>
    <w:p>
      <w:pPr>
        <w:pStyle w:val="Normal"/>
        <w:rPr/>
      </w:pPr>
      <w:r>
        <w:rPr>
          <w:sz w:val="20"/>
          <w:szCs w:val="20"/>
        </w:rPr>
        <w:t>- ОБЩЕСТВА С ОГРАНИЧЕННОЙ ОТВЕТСТВЕННОСТЬЮ "ЮПИТЕР"</w:t>
      </w:r>
    </w:p>
    <w:p>
      <w:pPr>
        <w:pStyle w:val="Normal"/>
        <w:rPr>
          <w:sz w:val="20"/>
          <w:szCs w:val="20"/>
        </w:rPr>
      </w:pPr>
      <w:r>
        <w:rPr>
          <w:sz w:val="20"/>
          <w:szCs w:val="20"/>
        </w:rPr>
        <w:t>- ОБЩЕСТВА С ОГРАНИЧЕННОЙ ОТВЕТСТВЕННОСТЬЮ "ВОДОПАД СЕРВИС ГРУПП"</w:t>
      </w:r>
    </w:p>
    <w:p>
      <w:pPr>
        <w:pStyle w:val="Normal"/>
        <w:rPr>
          <w:sz w:val="20"/>
          <w:szCs w:val="20"/>
        </w:rPr>
      </w:pPr>
      <w:r>
        <w:rPr>
          <w:sz w:val="20"/>
          <w:szCs w:val="20"/>
        </w:rPr>
        <w:t>- ОБЩЕСТВА С ОГРАНИЧЕННОЙ ОТВЕТСТВЕННОСТЬЮ "КОМПЛЕКТАЦИЯ СПБ"</w:t>
      </w:r>
    </w:p>
    <w:p>
      <w:pPr>
        <w:pStyle w:val="Normal"/>
        <w:rPr>
          <w:sz w:val="20"/>
          <w:szCs w:val="20"/>
        </w:rPr>
      </w:pPr>
      <w:r>
        <w:rPr>
          <w:sz w:val="20"/>
          <w:szCs w:val="20"/>
        </w:rPr>
        <w:t>- АКЦИОНЕРНОГО ОБЩЕСТВА "СИБИРСКИЕ ИНСТРУМЕНТАЛЬНЫЕ ТЕХНОЛОГИИ"</w:t>
      </w:r>
    </w:p>
    <w:p>
      <w:pPr>
        <w:pStyle w:val="Normal"/>
        <w:rPr>
          <w:sz w:val="20"/>
          <w:szCs w:val="20"/>
        </w:rPr>
      </w:pPr>
      <w:r>
        <w:rPr>
          <w:sz w:val="20"/>
          <w:szCs w:val="20"/>
        </w:rPr>
        <w:t>- ОБЩЕСТВА С ОГРАНИЧЕННОЙ ОТВЕТСТВЕННОСТЬЮ "ЮНИОНИНВЕСТ"</w:t>
      </w:r>
    </w:p>
    <w:p>
      <w:pPr>
        <w:pStyle w:val="Normal"/>
        <w:rPr>
          <w:sz w:val="20"/>
          <w:szCs w:val="20"/>
        </w:rPr>
      </w:pPr>
      <w:r>
        <w:rPr>
          <w:sz w:val="20"/>
          <w:szCs w:val="20"/>
        </w:rPr>
        <w:t>- ОБЩЕСТВА С ОГРАНИЧЕННОЙ ОТВЕТСТВЕННОСТЬЮ "ДОНЭЛЕКТРОТОРГ"</w:t>
      </w:r>
    </w:p>
    <w:p>
      <w:pPr>
        <w:pStyle w:val="Normal"/>
        <w:rPr>
          <w:sz w:val="20"/>
          <w:szCs w:val="20"/>
        </w:rPr>
      </w:pPr>
      <w:r>
        <w:rPr>
          <w:sz w:val="20"/>
          <w:szCs w:val="20"/>
        </w:rPr>
        <w:t>- ОБЩЕСТВА С ОГРАНИЧЕННОЙ ОТВЕТСТВЕННОСТЬЮ "ПИРС"</w:t>
      </w:r>
    </w:p>
    <w:p>
      <w:pPr>
        <w:pStyle w:val="Normal"/>
        <w:widowControl w:val="false"/>
        <w:tabs>
          <w:tab w:val="clear" w:pos="708"/>
          <w:tab w:val="left" w:pos="-2835" w:leader="none"/>
          <w:tab w:val="left" w:pos="284" w:leader="none"/>
        </w:tabs>
        <w:spacing w:before="120" w:after="0"/>
        <w:ind w:firstLine="284" w:end="0"/>
        <w:contextualSpacing/>
        <w:jc w:val="both"/>
        <w:rPr>
          <w:sz w:val="20"/>
          <w:szCs w:val="20"/>
        </w:rPr>
      </w:pPr>
      <w:r>
        <w:rPr>
          <w:sz w:val="20"/>
          <w:szCs w:val="20"/>
        </w:rPr>
        <w:t>соответствующими условиям закупки.</w:t>
      </w:r>
    </w:p>
    <w:p>
      <w:pPr>
        <w:pStyle w:val="Normal"/>
        <w:widowControl w:val="false"/>
        <w:tabs>
          <w:tab w:val="clear" w:pos="708"/>
          <w:tab w:val="left" w:pos="-2835" w:leader="none"/>
          <w:tab w:val="left" w:pos="284" w:leader="none"/>
        </w:tabs>
        <w:spacing w:before="120" w:after="0"/>
        <w:ind w:firstLine="284" w:end="0"/>
        <w:contextualSpacing/>
        <w:jc w:val="both"/>
        <w:rPr>
          <w:sz w:val="20"/>
          <w:szCs w:val="20"/>
        </w:rPr>
      </w:pPr>
      <w:r>
        <w:rPr>
          <w:sz w:val="20"/>
          <w:szCs w:val="20"/>
        </w:rPr>
      </w:r>
    </w:p>
    <w:p>
      <w:pPr>
        <w:pStyle w:val="Normal"/>
        <w:numPr>
          <w:ilvl w:val="0"/>
          <w:numId w:val="2"/>
        </w:numPr>
        <w:ind w:hanging="284" w:start="284" w:end="0"/>
        <w:rPr>
          <w:sz w:val="20"/>
          <w:szCs w:val="20"/>
        </w:rPr>
      </w:pPr>
      <w:r>
        <w:rPr>
          <w:sz w:val="20"/>
          <w:szCs w:val="20"/>
        </w:rPr>
        <w:t xml:space="preserve">Отклонить заявки: </w:t>
      </w:r>
    </w:p>
    <w:p>
      <w:pPr>
        <w:pStyle w:val="Normal"/>
        <w:rPr/>
      </w:pPr>
      <w:r>
        <w:rPr>
          <w:sz w:val="20"/>
          <w:szCs w:val="20"/>
        </w:rPr>
        <w:t>- ОБЩЕСТВА С ОГРАНИЧЕННОЙ ОТВЕТСТВЕННОСТЬЮ "ГОНГ"</w:t>
      </w:r>
    </w:p>
    <w:p>
      <w:pPr>
        <w:pStyle w:val="Normal"/>
        <w:rPr>
          <w:sz w:val="20"/>
          <w:szCs w:val="20"/>
        </w:rPr>
      </w:pPr>
      <w:r>
        <w:rPr>
          <w:sz w:val="20"/>
          <w:szCs w:val="20"/>
        </w:rPr>
        <w:t>- ИНДИВИДУАЛЬНОГО ПРЕДПРИНИМАТЕЛЯ ВОЛЬНОВОЙ ОКСАНЫ ВАСИЛЬЕВНЫ</w:t>
      </w:r>
    </w:p>
    <w:p>
      <w:pPr>
        <w:pStyle w:val="Normal"/>
        <w:rPr/>
      </w:pPr>
      <w:r>
        <w:rPr>
          <w:b/>
          <w:sz w:val="20"/>
          <w:szCs w:val="20"/>
        </w:rPr>
        <w:t>-</w:t>
      </w:r>
      <w:r>
        <w:rPr>
          <w:sz w:val="20"/>
          <w:szCs w:val="20"/>
        </w:rPr>
        <w:t xml:space="preserve"> ОБЩЕСТВА С ОГРАНИЧЕННОЙ ОТВЕТСТВЕННОСТЬЮ "ВОЛЖСКАЯ ТЕНДЕРНАЯ КОМПАНИЯ".</w:t>
      </w:r>
    </w:p>
    <w:p>
      <w:pPr>
        <w:pStyle w:val="Normal"/>
        <w:rPr>
          <w:sz w:val="20"/>
          <w:szCs w:val="20"/>
        </w:rPr>
      </w:pPr>
      <w:r>
        <w:rPr>
          <w:sz w:val="20"/>
          <w:szCs w:val="20"/>
        </w:rPr>
      </w:r>
    </w:p>
    <w:p>
      <w:pPr>
        <w:pStyle w:val="Normal"/>
        <w:widowControl w:val="false"/>
        <w:numPr>
          <w:ilvl w:val="0"/>
          <w:numId w:val="2"/>
        </w:numPr>
        <w:tabs>
          <w:tab w:val="clear" w:pos="708"/>
          <w:tab w:val="left" w:pos="-2835" w:leader="none"/>
          <w:tab w:val="left" w:pos="0" w:leader="none"/>
          <w:tab w:val="left" w:pos="284" w:leader="none"/>
        </w:tabs>
        <w:spacing w:before="120" w:after="0"/>
        <w:ind w:hanging="0" w:start="0" w:end="0"/>
        <w:contextualSpacing/>
        <w:jc w:val="both"/>
        <w:rPr>
          <w:sz w:val="20"/>
          <w:szCs w:val="20"/>
        </w:rPr>
      </w:pPr>
      <w:r>
        <w:rPr>
          <w:sz w:val="20"/>
          <w:szCs w:val="20"/>
        </w:rPr>
        <w:t>Признать наиболее выгодные условия поставки товара в заявке ОБЩЕСТВА С ОГРАНИЧЕННОЙ ОТВЕТСТВЕННОСТЬЮ "ВОДОПАД СЕРВИС ГРУПП" ИНН 7802718462 (197342, Г.САНКТ-ПЕТЕРБУРГ, вн.тер.г. МУНИЦИПАЛЬНЫЙ ОКРУГ ЛАНСКОЕ, НАБ ВЫБОРГСКАЯ, Д. 61, ЛИТЕРА А, ПОМЕЩ. 9-Н, КОМ. 331), которой присвоен первый порядковый номер, на общую сумму 1 921 712,40 руб. (с учетом НДС), в соответствии с Приложением № 1.  </w:t>
      </w:r>
    </w:p>
    <w:p>
      <w:pPr>
        <w:pStyle w:val="Normal"/>
        <w:widowControl w:val="false"/>
        <w:tabs>
          <w:tab w:val="clear" w:pos="708"/>
          <w:tab w:val="left" w:pos="-2835" w:leader="none"/>
          <w:tab w:val="left" w:pos="0" w:leader="none"/>
          <w:tab w:val="left" w:pos="284" w:leader="none"/>
        </w:tabs>
        <w:spacing w:before="120" w:after="0"/>
        <w:contextualSpacing/>
        <w:jc w:val="both"/>
        <w:rPr>
          <w:sz w:val="20"/>
          <w:szCs w:val="20"/>
        </w:rPr>
      </w:pPr>
      <w:r>
        <w:rPr>
          <w:sz w:val="20"/>
          <w:szCs w:val="20"/>
        </w:rPr>
      </w:r>
    </w:p>
    <w:p>
      <w:pPr>
        <w:pStyle w:val="Normal"/>
        <w:widowControl w:val="false"/>
        <w:numPr>
          <w:ilvl w:val="0"/>
          <w:numId w:val="2"/>
        </w:numPr>
        <w:tabs>
          <w:tab w:val="clear" w:pos="708"/>
          <w:tab w:val="left" w:pos="-2835" w:leader="none"/>
          <w:tab w:val="left" w:pos="284" w:leader="none"/>
        </w:tabs>
        <w:spacing w:before="120" w:after="0"/>
        <w:ind w:hanging="0" w:start="0" w:end="0"/>
        <w:contextualSpacing/>
        <w:jc w:val="both"/>
        <w:rPr>
          <w:sz w:val="20"/>
          <w:szCs w:val="20"/>
        </w:rPr>
      </w:pPr>
      <w:r>
        <w:rPr>
          <w:sz w:val="20"/>
          <w:szCs w:val="20"/>
        </w:rPr>
        <w:t>Допускается проведение преддоговорных переговоров с ОБЩЕСТВОМ С ОГРАНИЧЕННОЙ ОТВЕТСТВЕННОСТЬЮ "ВОДОПАД СЕРВИС ГРУПП" с целью уточнения несущественных для заказчика условий договора, а также улучшения технико-коммерческого предложения победителя.</w:t>
      </w:r>
    </w:p>
    <w:p>
      <w:pPr>
        <w:pStyle w:val="Normal"/>
        <w:tabs>
          <w:tab w:val="clear" w:pos="708"/>
          <w:tab w:val="left" w:pos="284" w:leader="none"/>
          <w:tab w:val="left" w:pos="709" w:leader="none"/>
        </w:tabs>
        <w:spacing w:before="120" w:after="0"/>
        <w:contextualSpacing/>
        <w:jc w:val="both"/>
        <w:rPr>
          <w:sz w:val="20"/>
          <w:szCs w:val="20"/>
        </w:rPr>
      </w:pPr>
      <w:r>
        <w:rPr>
          <w:sz w:val="20"/>
          <w:szCs w:val="20"/>
        </w:rPr>
        <w:t>Зафиксировать результат преддоговорных переговоров в окончательных условиях заключаемого договора и заключить договор на условиях, согласованных заказчиком и победителем в рамках проведенных преддоговорных переговоров.</w:t>
      </w:r>
    </w:p>
    <w:p>
      <w:pPr>
        <w:pStyle w:val="Normal"/>
        <w:widowControl w:val="false"/>
        <w:spacing w:before="120" w:after="120"/>
        <w:rPr>
          <w:b/>
          <w:sz w:val="20"/>
          <w:szCs w:val="20"/>
        </w:rPr>
      </w:pPr>
      <w:r>
        <w:rPr>
          <w:b/>
          <w:sz w:val="20"/>
          <w:szCs w:val="20"/>
        </w:rPr>
      </w:r>
    </w:p>
    <w:p>
      <w:pPr>
        <w:pStyle w:val="Normal"/>
        <w:widowControl w:val="false"/>
        <w:spacing w:before="120" w:after="120"/>
        <w:rPr>
          <w:b/>
          <w:sz w:val="20"/>
          <w:szCs w:val="20"/>
        </w:rPr>
      </w:pPr>
      <w:r>
        <w:rPr>
          <w:b/>
          <w:sz w:val="20"/>
          <w:szCs w:val="20"/>
        </w:rPr>
      </w:r>
    </w:p>
    <w:p>
      <w:pPr>
        <w:pStyle w:val="Normal"/>
        <w:widowControl w:val="false"/>
        <w:spacing w:before="120" w:after="120"/>
        <w:rPr>
          <w:b/>
          <w:sz w:val="20"/>
          <w:szCs w:val="20"/>
        </w:rPr>
      </w:pPr>
      <w:r>
        <w:rPr>
          <w:b/>
          <w:sz w:val="20"/>
          <w:szCs w:val="20"/>
        </w:rPr>
      </w:r>
    </w:p>
    <w:p>
      <w:pPr>
        <w:pStyle w:val="Normal"/>
        <w:widowControl w:val="false"/>
        <w:spacing w:before="120" w:after="120"/>
        <w:rPr>
          <w:b/>
          <w:sz w:val="20"/>
          <w:szCs w:val="20"/>
        </w:rPr>
      </w:pPr>
      <w:r>
        <w:rPr>
          <w:b/>
          <w:sz w:val="20"/>
          <w:szCs w:val="20"/>
        </w:rPr>
        <w:t>РЕЗУЛЬТАТЫ ГОЛОСОВАНИЯ:</w:t>
      </w:r>
    </w:p>
    <w:p>
      <w:pPr>
        <w:pStyle w:val="Normal"/>
        <w:widowControl w:val="false"/>
        <w:rPr>
          <w:i/>
          <w:i/>
          <w:sz w:val="20"/>
          <w:szCs w:val="20"/>
        </w:rPr>
      </w:pPr>
      <w:r>
        <w:rPr>
          <w:i/>
          <w:sz w:val="20"/>
          <w:szCs w:val="20"/>
        </w:rPr>
        <w:t>«За» 8 членов Комиссии по маркетинговым исследованиям АО «Теплосеть Санкт-Петербурга»</w:t>
      </w:r>
    </w:p>
    <w:p>
      <w:pPr>
        <w:pStyle w:val="Normal"/>
        <w:widowControl w:val="false"/>
        <w:rPr>
          <w:i/>
          <w:i/>
          <w:sz w:val="20"/>
          <w:szCs w:val="20"/>
        </w:rPr>
      </w:pPr>
      <w:r>
        <w:rPr>
          <w:i/>
          <w:sz w:val="20"/>
          <w:szCs w:val="20"/>
        </w:rPr>
        <w:t>«Против» 0 членов Комиссии по маркетинговым исследованиям АО «Теплосеть Санкт-Петербурга»</w:t>
      </w:r>
    </w:p>
    <w:p>
      <w:pPr>
        <w:pStyle w:val="Normal"/>
        <w:widowControl w:val="false"/>
        <w:ind w:end="-143"/>
        <w:rPr>
          <w:i/>
          <w:i/>
          <w:sz w:val="20"/>
          <w:szCs w:val="20"/>
        </w:rPr>
      </w:pPr>
      <w:r>
        <w:rPr>
          <w:i/>
          <w:sz w:val="20"/>
          <w:szCs w:val="20"/>
        </w:rPr>
        <w:t>«Воздержалось» 0 членов Комиссии по маркетинговым исследованиям АО «Теплосеть Санкт-Петербурга»</w:t>
      </w:r>
    </w:p>
    <w:p>
      <w:pPr>
        <w:pStyle w:val="Normal"/>
        <w:widowControl w:val="false"/>
        <w:spacing w:before="120" w:after="120"/>
        <w:jc w:val="both"/>
        <w:rPr>
          <w:b/>
          <w:i/>
          <w:i/>
          <w:sz w:val="20"/>
          <w:szCs w:val="20"/>
        </w:rPr>
      </w:pPr>
      <w:r>
        <w:rPr>
          <w:b/>
          <w:i/>
          <w:sz w:val="20"/>
          <w:szCs w:val="20"/>
        </w:rPr>
      </w:r>
    </w:p>
    <w:p>
      <w:pPr>
        <w:pStyle w:val="Normal"/>
        <w:widowControl w:val="false"/>
        <w:spacing w:before="120" w:after="120"/>
        <w:jc w:val="both"/>
        <w:rPr>
          <w:b/>
          <w:sz w:val="20"/>
          <w:szCs w:val="20"/>
        </w:rPr>
      </w:pPr>
      <w:r>
        <w:rPr>
          <w:b/>
          <w:sz w:val="20"/>
          <w:szCs w:val="20"/>
        </w:rPr>
        <w:t>ПОДПИСИ УЧАСТВУЮЩИХ ЧЛЕНОВ КОМИССИИ ПО МАРКЕТИНГОВЫМ ИССЛЕДОВАНИЯМ АО «ТЕПЛОСЕТЬ САНКТ-ПЕТЕРБУРГА»:</w:t>
      </w:r>
    </w:p>
    <w:p>
      <w:pPr>
        <w:pStyle w:val="Normal"/>
        <w:widowControl w:val="false"/>
        <w:spacing w:before="120" w:after="120"/>
        <w:ind w:end="-285"/>
        <w:rPr/>
      </w:pPr>
      <w:r>
        <w:rPr/>
        <w:t>Заместитель председателя Комиссии по маркетинговым исследованиям АО «Теплосеть Санкт-Петербурга»:</w:t>
      </w:r>
    </w:p>
    <w:tbl>
      <w:tblPr>
        <w:tblW w:w="9747" w:type="dxa"/>
        <w:jc w:val="start"/>
        <w:tblInd w:w="0" w:type="dxa"/>
        <w:tblLayout w:type="fixed"/>
        <w:tblCellMar>
          <w:top w:w="0" w:type="dxa"/>
          <w:start w:w="108" w:type="dxa"/>
          <w:bottom w:w="0" w:type="dxa"/>
          <w:end w:w="108" w:type="dxa"/>
        </w:tblCellMar>
      </w:tblPr>
      <w:tblGrid>
        <w:gridCol w:w="2087"/>
        <w:gridCol w:w="542"/>
        <w:gridCol w:w="1792"/>
        <w:gridCol w:w="2653"/>
        <w:gridCol w:w="2673"/>
      </w:tblGrid>
      <w:tr>
        <w:trPr>
          <w:trHeight w:val="364" w:hRule="atLeast"/>
        </w:trPr>
        <w:tc>
          <w:tcPr>
            <w:tcW w:w="2087" w:type="dxa"/>
            <w:tcBorders/>
          </w:tcPr>
          <w:p>
            <w:pPr>
              <w:pStyle w:val="Normal"/>
              <w:widowControl w:val="false"/>
              <w:snapToGrid w:val="false"/>
              <w:rPr>
                <w:rFonts w:eastAsia="Calibri"/>
                <w:sz w:val="20"/>
                <w:szCs w:val="20"/>
              </w:rPr>
            </w:pPr>
            <w:r>
              <w:rPr>
                <w:rFonts w:eastAsia="Calibri"/>
                <w:sz w:val="20"/>
                <w:szCs w:val="20"/>
              </w:rPr>
            </w:r>
          </w:p>
        </w:tc>
        <w:tc>
          <w:tcPr>
            <w:tcW w:w="542"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92" w:type="dxa"/>
            <w:tcBorders>
              <w:bottom w:val="single" w:sz="4" w:space="0" w:color="000000"/>
            </w:tcBorders>
            <w:vAlign w:val="bottom"/>
          </w:tcPr>
          <w:p>
            <w:pPr>
              <w:pStyle w:val="Normal"/>
              <w:widowControl w:val="false"/>
              <w:snapToGrid w:val="false"/>
              <w:rPr>
                <w:rFonts w:eastAsia="Calibri"/>
                <w:sz w:val="20"/>
                <w:szCs w:val="20"/>
              </w:rPr>
            </w:pPr>
            <w:r>
              <w:rPr>
                <w:rFonts w:eastAsia="Calibri"/>
                <w:sz w:val="20"/>
                <w:szCs w:val="20"/>
              </w:rPr>
            </w:r>
          </w:p>
        </w:tc>
        <w:tc>
          <w:tcPr>
            <w:tcW w:w="2653" w:type="dxa"/>
            <w:tcBorders>
              <w:bottom w:val="single" w:sz="4" w:space="0" w:color="000000"/>
            </w:tcBorders>
            <w:vAlign w:val="bottom"/>
          </w:tcPr>
          <w:p>
            <w:pPr>
              <w:pStyle w:val="Normal"/>
              <w:widowControl w:val="false"/>
              <w:jc w:val="center"/>
              <w:rPr>
                <w:rFonts w:eastAsia="Calibri"/>
                <w:sz w:val="20"/>
                <w:szCs w:val="20"/>
              </w:rPr>
            </w:pPr>
            <w:r>
              <w:rPr>
                <w:rFonts w:eastAsia="Calibri"/>
                <w:sz w:val="20"/>
                <w:szCs w:val="20"/>
              </w:rPr>
              <w:t>за</w:t>
            </w:r>
          </w:p>
        </w:tc>
        <w:tc>
          <w:tcPr>
            <w:tcW w:w="2673" w:type="dxa"/>
            <w:tcBorders>
              <w:bottom w:val="single" w:sz="4" w:space="0" w:color="000000"/>
            </w:tcBorders>
            <w:vAlign w:val="bottom"/>
          </w:tcPr>
          <w:p>
            <w:pPr>
              <w:pStyle w:val="Normal"/>
              <w:widowControl w:val="false"/>
              <w:jc w:val="center"/>
              <w:rPr>
                <w:rFonts w:eastAsia="Calibri"/>
                <w:sz w:val="20"/>
                <w:szCs w:val="20"/>
              </w:rPr>
            </w:pPr>
            <w:r>
              <w:rPr>
                <w:rFonts w:eastAsia="Calibri"/>
                <w:sz w:val="20"/>
                <w:szCs w:val="20"/>
              </w:rPr>
              <w:t>Чистяков С.С.</w:t>
            </w:r>
          </w:p>
        </w:tc>
      </w:tr>
      <w:tr>
        <w:trPr>
          <w:trHeight w:val="150" w:hRule="atLeast"/>
        </w:trPr>
        <w:tc>
          <w:tcPr>
            <w:tcW w:w="2087" w:type="dxa"/>
            <w:tcBorders/>
          </w:tcPr>
          <w:p>
            <w:pPr>
              <w:pStyle w:val="Normal"/>
              <w:widowControl w:val="false"/>
              <w:snapToGrid w:val="false"/>
              <w:rPr>
                <w:rFonts w:eastAsia="Calibri"/>
                <w:sz w:val="20"/>
                <w:szCs w:val="20"/>
              </w:rPr>
            </w:pPr>
            <w:r>
              <w:rPr>
                <w:rFonts w:eastAsia="Calibri"/>
                <w:sz w:val="20"/>
                <w:szCs w:val="20"/>
              </w:rPr>
            </w:r>
          </w:p>
        </w:tc>
        <w:tc>
          <w:tcPr>
            <w:tcW w:w="542" w:type="dxa"/>
            <w:tcBorders/>
          </w:tcPr>
          <w:p>
            <w:pPr>
              <w:pStyle w:val="Normal"/>
              <w:widowControl w:val="false"/>
              <w:snapToGrid w:val="false"/>
              <w:rPr>
                <w:rFonts w:eastAsia="Calibri"/>
                <w:sz w:val="20"/>
                <w:szCs w:val="20"/>
              </w:rPr>
            </w:pPr>
            <w:r>
              <w:rPr>
                <w:rFonts w:eastAsia="Calibri"/>
                <w:sz w:val="20"/>
                <w:szCs w:val="20"/>
              </w:rPr>
            </w:r>
          </w:p>
        </w:tc>
        <w:tc>
          <w:tcPr>
            <w:tcW w:w="1792" w:type="dxa"/>
            <w:tcBorders>
              <w:top w:val="single" w:sz="4" w:space="0" w:color="000000"/>
            </w:tcBorders>
          </w:tcPr>
          <w:p>
            <w:pPr>
              <w:pStyle w:val="Normal"/>
              <w:widowControl w:val="false"/>
              <w:jc w:val="center"/>
              <w:rPr>
                <w:rFonts w:eastAsia="Calibri"/>
                <w:sz w:val="20"/>
                <w:szCs w:val="20"/>
              </w:rPr>
            </w:pPr>
            <w:r>
              <w:rPr>
                <w:rFonts w:eastAsia="Calibri"/>
                <w:sz w:val="20"/>
                <w:szCs w:val="20"/>
              </w:rPr>
              <w:t>(Подпись)</w:t>
            </w:r>
          </w:p>
        </w:tc>
        <w:tc>
          <w:tcPr>
            <w:tcW w:w="2653" w:type="dxa"/>
            <w:tcBorders>
              <w:top w:val="single" w:sz="4" w:space="0" w:color="000000"/>
            </w:tcBorders>
          </w:tcPr>
          <w:p>
            <w:pPr>
              <w:pStyle w:val="Normal"/>
              <w:widowControl w:val="false"/>
              <w:jc w:val="center"/>
              <w:rPr>
                <w:rFonts w:eastAsia="Calibri"/>
                <w:sz w:val="20"/>
                <w:szCs w:val="20"/>
              </w:rPr>
            </w:pPr>
            <w:r>
              <w:rPr>
                <w:i/>
                <w:sz w:val="20"/>
                <w:szCs w:val="20"/>
              </w:rPr>
              <w:t>за/против/воздержался</w:t>
            </w:r>
          </w:p>
        </w:tc>
        <w:tc>
          <w:tcPr>
            <w:tcW w:w="2673" w:type="dxa"/>
            <w:tcBorders>
              <w:top w:val="single" w:sz="4" w:space="0" w:color="000000"/>
            </w:tcBorders>
          </w:tcPr>
          <w:p>
            <w:pPr>
              <w:pStyle w:val="Normal"/>
              <w:widowControl w:val="false"/>
              <w:jc w:val="center"/>
              <w:rPr>
                <w:rFonts w:eastAsia="Calibri"/>
                <w:sz w:val="20"/>
                <w:szCs w:val="20"/>
              </w:rPr>
            </w:pPr>
            <w:r>
              <w:rPr>
                <w:rFonts w:eastAsia="Calibri"/>
                <w:sz w:val="20"/>
                <w:szCs w:val="20"/>
              </w:rPr>
              <w:t>(Фамилия И.О.)</w:t>
            </w:r>
          </w:p>
        </w:tc>
      </w:tr>
    </w:tbl>
    <w:p>
      <w:pPr>
        <w:pStyle w:val="Normal"/>
        <w:widowControl w:val="false"/>
        <w:spacing w:before="120" w:after="120"/>
        <w:jc w:val="both"/>
        <w:rPr/>
      </w:pPr>
      <w:r>
        <w:rPr/>
        <w:t>Члены Комиссии по маркетинговым исследованиям АО «Теплосеть Санкт-Петербурга»:</w:t>
      </w:r>
    </w:p>
    <w:tbl>
      <w:tblPr>
        <w:tblW w:w="9747" w:type="dxa"/>
        <w:jc w:val="start"/>
        <w:tblInd w:w="0" w:type="dxa"/>
        <w:tblLayout w:type="fixed"/>
        <w:tblCellMar>
          <w:top w:w="0" w:type="dxa"/>
          <w:start w:w="108" w:type="dxa"/>
          <w:bottom w:w="0" w:type="dxa"/>
          <w:end w:w="108" w:type="dxa"/>
        </w:tblCellMar>
      </w:tblPr>
      <w:tblGrid>
        <w:gridCol w:w="1978"/>
        <w:gridCol w:w="523"/>
        <w:gridCol w:w="1758"/>
        <w:gridCol w:w="2856"/>
        <w:gridCol w:w="2632"/>
      </w:tblGrid>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Буряк И.Н.</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Кузнецов Д.Э.</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Медведева Н.Л.</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Пахунов Е.М.</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Пуговкин В.М.</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Северовостоков В.В.</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Фомичев А.С.</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bl>
    <w:p>
      <w:pPr>
        <w:sectPr>
          <w:footerReference w:type="default" r:id="rId2"/>
          <w:footerReference w:type="first" r:id="rId3"/>
          <w:type w:val="nextPage"/>
          <w:pgSz w:w="11906" w:h="16838"/>
          <w:pgMar w:left="1276" w:right="849" w:gutter="0" w:header="0" w:top="426" w:footer="709" w:bottom="765"/>
          <w:pgNumType w:fmt="decimal"/>
          <w:formProt w:val="false"/>
          <w:titlePg/>
          <w:textDirection w:val="lrTb"/>
          <w:docGrid w:type="default" w:linePitch="360" w:charSpace="0"/>
        </w:sectPr>
      </w:pPr>
    </w:p>
    <w:p>
      <w:pPr>
        <w:pStyle w:val="Normal"/>
        <w:widowControl w:val="false"/>
        <w:spacing w:before="120" w:after="120"/>
        <w:ind w:end="522"/>
        <w:jc w:val="end"/>
        <w:rPr>
          <w:b/>
          <w:sz w:val="20"/>
          <w:szCs w:val="20"/>
        </w:rPr>
      </w:pPr>
      <w:r>
        <w:rPr>
          <w:b/>
          <w:sz w:val="20"/>
          <w:szCs w:val="20"/>
        </w:rPr>
        <w:t>Приложение № 1 к протоколу от «11» декабря 2025 года № 32515440741_1</w:t>
      </w:r>
    </w:p>
    <w:tbl>
      <w:tblPr>
        <w:tblW w:w="4900" w:type="pct"/>
        <w:jc w:val="start"/>
        <w:tblInd w:w="0" w:type="dxa"/>
        <w:tblLayout w:type="fixed"/>
        <w:tblCellMar>
          <w:top w:w="0" w:type="dxa"/>
          <w:start w:w="108" w:type="dxa"/>
          <w:bottom w:w="0" w:type="dxa"/>
          <w:end w:w="108" w:type="dxa"/>
        </w:tblCellMar>
      </w:tblPr>
      <w:tblGrid>
        <w:gridCol w:w="2411"/>
        <w:gridCol w:w="1370"/>
        <w:gridCol w:w="1520"/>
        <w:gridCol w:w="1469"/>
        <w:gridCol w:w="1831"/>
        <w:gridCol w:w="1256"/>
        <w:gridCol w:w="1959"/>
        <w:gridCol w:w="1478"/>
        <w:gridCol w:w="1664"/>
      </w:tblGrid>
      <w:tr>
        <w:trPr>
          <w:trHeight w:val="494" w:hRule="atLeast"/>
        </w:trPr>
        <w:tc>
          <w:tcPr>
            <w:tcW w:w="14958" w:type="dxa"/>
            <w:gridSpan w:val="9"/>
            <w:tcBorders>
              <w:top w:val="single" w:sz="4" w:space="0" w:color="000000"/>
              <w:start w:val="single" w:sz="4" w:space="0" w:color="000000"/>
              <w:bottom w:val="single" w:sz="4" w:space="0" w:color="000000"/>
              <w:end w:val="single" w:sz="4" w:space="0" w:color="000000"/>
            </w:tcBorders>
            <w:vAlign w:val="center"/>
          </w:tcPr>
          <w:p>
            <w:pPr>
              <w:pStyle w:val="Normal"/>
              <w:jc w:val="center"/>
              <w:rPr>
                <w:b/>
                <w:color w:val="000000"/>
                <w:sz w:val="20"/>
                <w:szCs w:val="20"/>
              </w:rPr>
            </w:pPr>
            <w:r>
              <w:rPr>
                <w:b/>
                <w:color w:val="000000"/>
                <w:sz w:val="20"/>
                <w:szCs w:val="20"/>
              </w:rPr>
              <w:t>Сводное заключение Экспертного совета по рассмотрению заявок и подведению итогов открытых маркетинговых исследований</w:t>
            </w:r>
          </w:p>
        </w:tc>
      </w:tr>
      <w:tr>
        <w:trPr>
          <w:trHeight w:val="300" w:hRule="atLeas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Принципал</w:t>
            </w:r>
          </w:p>
        </w:tc>
        <w:tc>
          <w:tcPr>
            <w:tcW w:w="12547" w:type="dxa"/>
            <w:gridSpan w:val="8"/>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0"/>
                <w:szCs w:val="20"/>
              </w:rPr>
            </w:pPr>
            <w:r>
              <w:rPr>
                <w:color w:val="000000"/>
                <w:sz w:val="20"/>
                <w:szCs w:val="20"/>
              </w:rPr>
              <w:t>АО «Теплосеть Санкт-Петербурга»</w:t>
            </w:r>
          </w:p>
        </w:tc>
      </w:tr>
      <w:tr>
        <w:trPr>
          <w:trHeight w:val="750" w:hRule="atLeas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Наименование закупки</w:t>
            </w:r>
          </w:p>
        </w:tc>
        <w:tc>
          <w:tcPr>
            <w:tcW w:w="12547"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color w:val="000000"/>
                <w:sz w:val="20"/>
                <w:szCs w:val="20"/>
              </w:rPr>
            </w:pPr>
            <w:r>
              <w:rPr>
                <w:color w:val="000000"/>
                <w:sz w:val="20"/>
                <w:szCs w:val="20"/>
              </w:rPr>
              <w:t>Поставка бензо-электроинструмента (4444/6.1.1-254)</w:t>
            </w:r>
          </w:p>
        </w:tc>
      </w:tr>
      <w:tr>
        <w:trPr>
          <w:trHeight w:val="315" w:hRule="atLeas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Номер закупки в ЕИС</w:t>
            </w:r>
          </w:p>
        </w:tc>
        <w:tc>
          <w:tcPr>
            <w:tcW w:w="12547" w:type="dxa"/>
            <w:gridSpan w:val="8"/>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0"/>
                <w:szCs w:val="20"/>
              </w:rPr>
            </w:pPr>
            <w:r>
              <w:rPr>
                <w:color w:val="000000"/>
                <w:sz w:val="20"/>
                <w:szCs w:val="20"/>
              </w:rPr>
              <w:t>32515440741</w:t>
            </w:r>
          </w:p>
        </w:tc>
      </w:tr>
      <w:tr>
        <w:trPr>
          <w:trHeight w:val="585" w:hRule="atLeas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Способ закупки</w:t>
            </w:r>
          </w:p>
        </w:tc>
        <w:tc>
          <w:tcPr>
            <w:tcW w:w="12547" w:type="dxa"/>
            <w:gridSpan w:val="8"/>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0"/>
                <w:szCs w:val="20"/>
              </w:rPr>
            </w:pPr>
            <w:r>
              <w:rPr>
                <w:color w:val="000000"/>
                <w:sz w:val="20"/>
                <w:szCs w:val="20"/>
              </w:rPr>
              <w:t>Открытые маркетинговые исследования в электронной форме, участниками которых могут быть только субъекты малого и среднего предпринимательства</w:t>
            </w:r>
          </w:p>
        </w:tc>
      </w:tr>
      <w:tr>
        <w:trPr>
          <w:trHeight w:val="360" w:hRule="atLeas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НМЦД, руб. (с НДС)</w:t>
            </w:r>
          </w:p>
        </w:tc>
        <w:tc>
          <w:tcPr>
            <w:tcW w:w="12547" w:type="dxa"/>
            <w:gridSpan w:val="8"/>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0"/>
                <w:szCs w:val="20"/>
              </w:rPr>
            </w:pPr>
            <w:r>
              <w:rPr>
                <w:color w:val="000000"/>
                <w:sz w:val="20"/>
                <w:szCs w:val="20"/>
              </w:rPr>
              <w:t>5 449 393,59</w:t>
            </w:r>
          </w:p>
        </w:tc>
      </w:tr>
      <w:tr>
        <w:trPr>
          <w:trHeight w:val="180" w:hRule="atLeast"/>
        </w:trPr>
        <w:tc>
          <w:tcPr>
            <w:tcW w:w="241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color w:val="000000"/>
                <w:sz w:val="20"/>
                <w:szCs w:val="20"/>
              </w:rPr>
            </w:pPr>
            <w:r>
              <w:rPr>
                <w:color w:val="000000"/>
                <w:sz w:val="20"/>
                <w:szCs w:val="20"/>
              </w:rPr>
            </w:r>
          </w:p>
        </w:tc>
        <w:tc>
          <w:tcPr>
            <w:tcW w:w="137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c>
          <w:tcPr>
            <w:tcW w:w="152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c>
          <w:tcPr>
            <w:tcW w:w="9657" w:type="dxa"/>
            <w:gridSpan w:val="6"/>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r>
      <w:tr>
        <w:trPr>
          <w:trHeight w:val="705" w:hRule="atLeast"/>
        </w:trPr>
        <w:tc>
          <w:tcPr>
            <w:tcW w:w="24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Наименование участника процедуры</w:t>
            </w:r>
          </w:p>
        </w:tc>
        <w:tc>
          <w:tcPr>
            <w:tcW w:w="13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Ценовое предложение, руб. (с НДС)</w:t>
            </w:r>
          </w:p>
        </w:tc>
        <w:tc>
          <w:tcPr>
            <w:tcW w:w="15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Отклонение или допуск</w:t>
            </w:r>
          </w:p>
        </w:tc>
        <w:tc>
          <w:tcPr>
            <w:tcW w:w="9657"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Комментарий</w:t>
            </w:r>
          </w:p>
        </w:tc>
      </w:tr>
      <w:tr>
        <w:trPr>
          <w:trHeight w:val="1755" w:hRule="atLeast"/>
        </w:trPr>
        <w:tc>
          <w:tcPr>
            <w:tcW w:w="24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Участник 2497</w:t>
              <w:br/>
              <w:t xml:space="preserve">ООО «Комплектация СПб» </w:t>
              <w:br/>
              <w:t>(ИНН 7802800371)</w:t>
            </w:r>
          </w:p>
        </w:tc>
        <w:tc>
          <w:tcPr>
            <w:tcW w:w="13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 xml:space="preserve">2 907 106,80 </w:t>
            </w:r>
          </w:p>
        </w:tc>
        <w:tc>
          <w:tcPr>
            <w:tcW w:w="15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Допуск</w:t>
            </w:r>
          </w:p>
        </w:tc>
        <w:tc>
          <w:tcPr>
            <w:tcW w:w="9657"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bCs/>
                <w:sz w:val="20"/>
                <w:szCs w:val="20"/>
              </w:rPr>
              <w:t>Снижение на 46,65%</w:t>
              <w:br/>
            </w:r>
            <w:r>
              <w:rPr>
                <w:sz w:val="20"/>
                <w:szCs w:val="20"/>
              </w:rPr>
              <w:t>По форме 7.4.6 участник предоставил 14 договоров. В результате проверки 7 договоров (п.1, п.3 (2-й договор), п.4, п.5, п.6, п.7, п.8) не учтены, так как договоры исполнены ранее оцениваемого периода. 3 договора (п.2, п.9, п.10) не подтверждены копиями документов, подтверждающих факт поставки. 4 договора (п.3 (1-й договор), п.11 - п.13) учтены на сумму документов подтверждающих факт поставки товаров, аналогичных предмету закупки.</w:t>
            </w:r>
            <w:r>
              <w:rPr>
                <w:b/>
                <w:bCs/>
                <w:sz w:val="20"/>
                <w:szCs w:val="20"/>
              </w:rPr>
              <w:br/>
              <w:t>Учтено 4 договора на общую сумму 7 986 838,29 руб.</w:t>
            </w:r>
          </w:p>
        </w:tc>
      </w:tr>
      <w:tr>
        <w:trPr>
          <w:trHeight w:val="1140" w:hRule="atLeast"/>
        </w:trPr>
        <w:tc>
          <w:tcPr>
            <w:tcW w:w="24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Участник 3019</w:t>
              <w:br/>
              <w:t xml:space="preserve">ООО «Волжская Тендерная Компания» </w:t>
              <w:br/>
              <w:t>(ИНН 6319245750)</w:t>
            </w:r>
          </w:p>
        </w:tc>
        <w:tc>
          <w:tcPr>
            <w:tcW w:w="13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 </w:t>
            </w:r>
          </w:p>
        </w:tc>
        <w:tc>
          <w:tcPr>
            <w:tcW w:w="15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Отклонение</w:t>
            </w:r>
          </w:p>
        </w:tc>
        <w:tc>
          <w:tcPr>
            <w:tcW w:w="9657"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Срок действия оферты менее 90 (девяносто) дней.</w:t>
            </w:r>
            <w:r>
              <w:rPr>
                <w:b/>
                <w:bCs/>
                <w:sz w:val="20"/>
                <w:szCs w:val="20"/>
              </w:rPr>
              <w:br/>
              <w:t xml:space="preserve">Отклонение на основании п.2.6.6 Документации (установления факта указания меньшего срока действия Заявки в соответствии с п. 1.12. Документации). </w:t>
            </w:r>
          </w:p>
        </w:tc>
      </w:tr>
      <w:tr>
        <w:trPr>
          <w:trHeight w:val="1830" w:hRule="atLeast"/>
        </w:trPr>
        <w:tc>
          <w:tcPr>
            <w:tcW w:w="24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Участник 3463</w:t>
              <w:br/>
              <w:t xml:space="preserve">ООО «ПИРС» </w:t>
              <w:br/>
              <w:t>(ИНН 7801381872)</w:t>
            </w:r>
          </w:p>
        </w:tc>
        <w:tc>
          <w:tcPr>
            <w:tcW w:w="13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 xml:space="preserve">1 910 290,20 </w:t>
            </w:r>
          </w:p>
        </w:tc>
        <w:tc>
          <w:tcPr>
            <w:tcW w:w="15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Допуск</w:t>
            </w:r>
          </w:p>
        </w:tc>
        <w:tc>
          <w:tcPr>
            <w:tcW w:w="9657"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bCs/>
                <w:sz w:val="20"/>
                <w:szCs w:val="20"/>
              </w:rPr>
              <w:t>Снижение на 64,94%</w:t>
              <w:br/>
            </w:r>
            <w:r>
              <w:rPr>
                <w:sz w:val="20"/>
                <w:szCs w:val="20"/>
              </w:rPr>
              <w:t>По форме 7.4.6 участник предоставил 72 договора. В результате проверки 10 договоров (за 2021г. и 2025г.) не учтены, так как договоры исполнены вне оцениваемого периода. 57 договоров (за 2023г.: п.1 - п.22, п.24 - п.33; за 2024г.: п.1 - п.19, п.21 - п.24, п.26, п.27) не подтверждены копиями документов, подтверждающих факт поставки. 2 договора (за 2024г.: п.20, п.25)  учтены на сумму документов подтверждающих факт поставки товаров, аналогичных предмету закупки.</w:t>
            </w:r>
            <w:r>
              <w:rPr>
                <w:b/>
                <w:bCs/>
                <w:sz w:val="20"/>
                <w:szCs w:val="20"/>
              </w:rPr>
              <w:br/>
              <w:t>Учтено 5 договоров на общую сумму 2 640 900,00 руб.</w:t>
            </w:r>
          </w:p>
        </w:tc>
      </w:tr>
      <w:tr>
        <w:trPr>
          <w:trHeight w:val="1110" w:hRule="atLeast"/>
        </w:trPr>
        <w:tc>
          <w:tcPr>
            <w:tcW w:w="24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Участник 3713</w:t>
              <w:br/>
              <w:t xml:space="preserve">ООО «Гонг» </w:t>
              <w:br/>
              <w:t>(ИНН 7842471814)</w:t>
            </w:r>
          </w:p>
        </w:tc>
        <w:tc>
          <w:tcPr>
            <w:tcW w:w="13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 </w:t>
            </w:r>
          </w:p>
        </w:tc>
        <w:tc>
          <w:tcPr>
            <w:tcW w:w="15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Отклонение</w:t>
            </w:r>
          </w:p>
        </w:tc>
        <w:tc>
          <w:tcPr>
            <w:tcW w:w="9657"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sz w:val="20"/>
                <w:szCs w:val="20"/>
              </w:rPr>
              <w:t>Срок действия оферты менее 90 (девяносто) дней.</w:t>
            </w:r>
            <w:r>
              <w:rPr>
                <w:b/>
                <w:bCs/>
                <w:sz w:val="20"/>
                <w:szCs w:val="20"/>
              </w:rPr>
              <w:br/>
              <w:t xml:space="preserve">Отклонение на основании п.2.6.6 Документации (установления факта указания меньшего срока действия Заявки в соответствии с п. 1.12. Документации). </w:t>
            </w:r>
          </w:p>
        </w:tc>
      </w:tr>
      <w:tr>
        <w:trPr>
          <w:trHeight w:val="1245" w:hRule="atLeast"/>
        </w:trPr>
        <w:tc>
          <w:tcPr>
            <w:tcW w:w="24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Участник 4414</w:t>
              <w:br/>
              <w:t xml:space="preserve">ООО «ДонЭлектроТорг» </w:t>
              <w:br/>
              <w:t>(ИНН 6161083979)</w:t>
            </w:r>
          </w:p>
        </w:tc>
        <w:tc>
          <w:tcPr>
            <w:tcW w:w="13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 xml:space="preserve">2 699 996,76 </w:t>
            </w:r>
          </w:p>
        </w:tc>
        <w:tc>
          <w:tcPr>
            <w:tcW w:w="15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Допуск</w:t>
            </w:r>
          </w:p>
        </w:tc>
        <w:tc>
          <w:tcPr>
            <w:tcW w:w="9657"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bCs/>
                <w:sz w:val="20"/>
                <w:szCs w:val="20"/>
              </w:rPr>
              <w:t>Снижение на 50,45%</w:t>
              <w:br/>
            </w:r>
            <w:r>
              <w:rPr>
                <w:sz w:val="20"/>
                <w:szCs w:val="20"/>
              </w:rPr>
              <w:t>По форме 7.4.6 участник предоставил 2 договора. В результате проверки 2 договора учтены на сумму документов подтверждающих факт поставки товаров, аналогичных предмету закупки.</w:t>
            </w:r>
            <w:r>
              <w:rPr>
                <w:b/>
                <w:bCs/>
                <w:sz w:val="20"/>
                <w:szCs w:val="20"/>
              </w:rPr>
              <w:br/>
              <w:t>Учтено 2 договора на общую сумму 1 684 612,20 руб.</w:t>
            </w:r>
          </w:p>
        </w:tc>
      </w:tr>
      <w:tr>
        <w:trPr>
          <w:trHeight w:val="1245" w:hRule="atLeast"/>
        </w:trPr>
        <w:tc>
          <w:tcPr>
            <w:tcW w:w="24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Участник 5364</w:t>
              <w:br/>
              <w:t xml:space="preserve">ООО «Юпитер» </w:t>
              <w:br/>
              <w:t>(ИНН 5043087527)</w:t>
            </w:r>
          </w:p>
        </w:tc>
        <w:tc>
          <w:tcPr>
            <w:tcW w:w="13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 xml:space="preserve">5 339 000,40 </w:t>
            </w:r>
          </w:p>
        </w:tc>
        <w:tc>
          <w:tcPr>
            <w:tcW w:w="15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Допуск</w:t>
            </w:r>
          </w:p>
        </w:tc>
        <w:tc>
          <w:tcPr>
            <w:tcW w:w="9657"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bCs/>
                <w:sz w:val="20"/>
                <w:szCs w:val="20"/>
              </w:rPr>
              <w:t>Снижение на 2,03%</w:t>
              <w:br/>
            </w:r>
            <w:r>
              <w:rPr>
                <w:sz w:val="20"/>
                <w:szCs w:val="20"/>
              </w:rPr>
              <w:t>По форме 7.4.6 участник предоставил 4 договора.</w:t>
            </w:r>
            <w:r>
              <w:rPr>
                <w:color w:val="FF0000"/>
                <w:sz w:val="20"/>
                <w:szCs w:val="20"/>
              </w:rPr>
              <w:t xml:space="preserve"> </w:t>
            </w:r>
            <w:r>
              <w:rPr>
                <w:sz w:val="20"/>
                <w:szCs w:val="20"/>
              </w:rPr>
              <w:t>В результате проверки 4 договора не учтены, так как исполнены вне оцениваемого периода.</w:t>
            </w:r>
            <w:r>
              <w:rPr>
                <w:b/>
                <w:bCs/>
                <w:sz w:val="20"/>
                <w:szCs w:val="20"/>
              </w:rPr>
              <w:br/>
              <w:t>Учтено 0 договоров на общую сумму 0,00 руб.</w:t>
            </w:r>
          </w:p>
        </w:tc>
      </w:tr>
      <w:tr>
        <w:trPr>
          <w:trHeight w:val="1500" w:hRule="atLeast"/>
        </w:trPr>
        <w:tc>
          <w:tcPr>
            <w:tcW w:w="24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Участник 5516</w:t>
              <w:br/>
              <w:t xml:space="preserve">ООО «ЮНИОНИНВЕСТ» </w:t>
              <w:br/>
              <w:t>(ИНН 9704075305)</w:t>
            </w:r>
          </w:p>
        </w:tc>
        <w:tc>
          <w:tcPr>
            <w:tcW w:w="13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 xml:space="preserve">3 048 576,30 </w:t>
            </w:r>
          </w:p>
        </w:tc>
        <w:tc>
          <w:tcPr>
            <w:tcW w:w="15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Допуск</w:t>
            </w:r>
          </w:p>
        </w:tc>
        <w:tc>
          <w:tcPr>
            <w:tcW w:w="9657"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bCs/>
                <w:sz w:val="20"/>
                <w:szCs w:val="20"/>
              </w:rPr>
              <w:t>Снижение на 44,06%</w:t>
              <w:br/>
            </w:r>
            <w:r>
              <w:rPr>
                <w:sz w:val="20"/>
                <w:szCs w:val="20"/>
              </w:rPr>
              <w:t>По форме 7.4.6 участник предоставил 5 договоров. В результате проверки 3 договора (п.1 - п.3) учтены на сумму документов, подтверждающих факт поставки товаров, аналогичных предмету закупки. Договор п.4 не учтен, так как поставленный товар не соответствует предмету закупки. Договор п.5 не учтен, так как исполнен вне оцениваемого периода.</w:t>
            </w:r>
            <w:r>
              <w:rPr>
                <w:b/>
                <w:bCs/>
                <w:sz w:val="20"/>
                <w:szCs w:val="20"/>
              </w:rPr>
              <w:br/>
              <w:t>Учтено 4 договора на общую сумму 1 902 516,40 руб.</w:t>
            </w:r>
          </w:p>
        </w:tc>
      </w:tr>
      <w:tr>
        <w:trPr>
          <w:trHeight w:val="1245" w:hRule="atLeast"/>
        </w:trPr>
        <w:tc>
          <w:tcPr>
            <w:tcW w:w="24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Участник 5530</w:t>
              <w:br/>
              <w:t>ИП Вольнова Оксана Васильевна</w:t>
              <w:br/>
              <w:t>(ИНН 504000392694)</w:t>
            </w:r>
          </w:p>
        </w:tc>
        <w:tc>
          <w:tcPr>
            <w:tcW w:w="13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 </w:t>
            </w:r>
          </w:p>
        </w:tc>
        <w:tc>
          <w:tcPr>
            <w:tcW w:w="15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Отклонение</w:t>
            </w:r>
          </w:p>
        </w:tc>
        <w:tc>
          <w:tcPr>
            <w:tcW w:w="9657"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sz w:val="20"/>
                <w:szCs w:val="20"/>
              </w:rPr>
            </w:pPr>
            <w:r>
              <w:rPr>
                <w:sz w:val="20"/>
                <w:szCs w:val="20"/>
              </w:rPr>
              <w:t>Участник в предложении об объекте закупки (приложение к тех. предложению) в позиции 6 указал тех. характеристики, не соответствующие Техническому заданию.</w:t>
              <w:br/>
            </w:r>
            <w:r>
              <w:rPr>
                <w:b/>
                <w:bCs/>
                <w:sz w:val="20"/>
                <w:szCs w:val="20"/>
              </w:rPr>
              <w:t>Отклонение на основании п.2.6.6 Документации об открытых маркетинговых исследованиях в электронной форме.</w:t>
            </w:r>
          </w:p>
        </w:tc>
      </w:tr>
      <w:tr>
        <w:trPr>
          <w:trHeight w:val="1605" w:hRule="atLeast"/>
        </w:trPr>
        <w:tc>
          <w:tcPr>
            <w:tcW w:w="24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Участник 8512</w:t>
              <w:br/>
              <w:t xml:space="preserve">ООО «Водопад Сервис Групп» </w:t>
              <w:br/>
              <w:t>(ИНН 7802718462)</w:t>
            </w:r>
          </w:p>
        </w:tc>
        <w:tc>
          <w:tcPr>
            <w:tcW w:w="13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 xml:space="preserve">1 921 712,40 </w:t>
            </w:r>
          </w:p>
        </w:tc>
        <w:tc>
          <w:tcPr>
            <w:tcW w:w="15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Допуск</w:t>
            </w:r>
          </w:p>
        </w:tc>
        <w:tc>
          <w:tcPr>
            <w:tcW w:w="9657"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bCs/>
                <w:sz w:val="20"/>
                <w:szCs w:val="20"/>
              </w:rPr>
              <w:t>Снижение на 64,74%</w:t>
              <w:br/>
            </w:r>
            <w:r>
              <w:rPr>
                <w:sz w:val="20"/>
                <w:szCs w:val="20"/>
              </w:rPr>
              <w:t>По форме 7.4.6 участник предоставил 20 договоров. В результате проверки 17 договоров (п.1 - п.4, п.6 - п.8, п.9 - п.12, п.14 - п.17, п.20) учтены на сумму документов, подтверждающих факт поставки товаров, аналогичных предмету закупки. 3 договора (п.13, п.18, п.19) не учтены, так как поставленный товар не соответствует предмету закупки.</w:t>
            </w:r>
            <w:r>
              <w:rPr>
                <w:b/>
                <w:bCs/>
                <w:sz w:val="20"/>
                <w:szCs w:val="20"/>
              </w:rPr>
              <w:br/>
              <w:t>Учтено 17 договоров на общую сумму 10 120 434,04 руб.</w:t>
            </w:r>
          </w:p>
        </w:tc>
      </w:tr>
      <w:tr>
        <w:trPr>
          <w:trHeight w:val="1665" w:hRule="atLeast"/>
        </w:trPr>
        <w:tc>
          <w:tcPr>
            <w:tcW w:w="241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Участник 9372</w:t>
              <w:br/>
              <w:t>АО «Сибирские инструментальные технологии» (ИНН 5407237690)</w:t>
            </w:r>
          </w:p>
        </w:tc>
        <w:tc>
          <w:tcPr>
            <w:tcW w:w="13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 xml:space="preserve">2 481 855,60 </w:t>
            </w:r>
          </w:p>
        </w:tc>
        <w:tc>
          <w:tcPr>
            <w:tcW w:w="15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Допуск</w:t>
            </w:r>
          </w:p>
        </w:tc>
        <w:tc>
          <w:tcPr>
            <w:tcW w:w="9657"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rPr/>
            </w:pPr>
            <w:r>
              <w:rPr>
                <w:b/>
                <w:bCs/>
                <w:sz w:val="20"/>
                <w:szCs w:val="20"/>
              </w:rPr>
              <w:t>Снижение на 54,46%</w:t>
              <w:br/>
            </w:r>
            <w:r>
              <w:rPr>
                <w:sz w:val="20"/>
                <w:szCs w:val="20"/>
              </w:rPr>
              <w:t>По форме 7.4.6 участник предоставил 62 договора. В результате проверки 62 договора не учтены, так как отсутствуют в составе заявки участника копии исполненных договоров (контрактов) (приложений и изменений к ним при наличии) и/или акты поставки товара и/или иных документов предусмотренных договором (контрактом) подтверждающих исполнения обязательств по таким договорам (контрактам).</w:t>
            </w:r>
            <w:r>
              <w:rPr>
                <w:b/>
                <w:bCs/>
                <w:sz w:val="20"/>
                <w:szCs w:val="20"/>
              </w:rPr>
              <w:br/>
              <w:t>Учтено 0 договоров на общую сумму 0,00 руб.</w:t>
            </w:r>
          </w:p>
        </w:tc>
      </w:tr>
      <w:tr>
        <w:trPr>
          <w:trHeight w:val="213" w:hRule="atLeast"/>
        </w:trPr>
        <w:tc>
          <w:tcPr>
            <w:tcW w:w="241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b/>
                <w:bCs/>
                <w:sz w:val="20"/>
                <w:szCs w:val="20"/>
              </w:rPr>
            </w:pPr>
            <w:r>
              <w:rPr>
                <w:b/>
                <w:bCs/>
                <w:sz w:val="20"/>
                <w:szCs w:val="20"/>
              </w:rPr>
            </w:r>
          </w:p>
        </w:tc>
        <w:tc>
          <w:tcPr>
            <w:tcW w:w="137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b/>
                <w:bCs/>
                <w:sz w:val="20"/>
                <w:szCs w:val="20"/>
              </w:rPr>
            </w:pPr>
            <w:r>
              <w:rPr>
                <w:b/>
                <w:bCs/>
                <w:sz w:val="20"/>
                <w:szCs w:val="20"/>
              </w:rPr>
            </w:r>
          </w:p>
        </w:tc>
        <w:tc>
          <w:tcPr>
            <w:tcW w:w="152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c>
          <w:tcPr>
            <w:tcW w:w="9657" w:type="dxa"/>
            <w:gridSpan w:val="6"/>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r>
      <w:tr>
        <w:trPr>
          <w:trHeight w:val="300" w:hRule="atLeast"/>
        </w:trPr>
        <w:tc>
          <w:tcPr>
            <w:tcW w:w="241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c>
          <w:tcPr>
            <w:tcW w:w="137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c>
          <w:tcPr>
            <w:tcW w:w="11177" w:type="dxa"/>
            <w:gridSpan w:val="7"/>
            <w:tcBorders>
              <w:top w:val="single" w:sz="4" w:space="0" w:color="000000"/>
              <w:start w:val="single" w:sz="4" w:space="0" w:color="000000"/>
              <w:bottom w:val="single" w:sz="4" w:space="0" w:color="000000"/>
              <w:end w:val="single" w:sz="4" w:space="0" w:color="000000"/>
            </w:tcBorders>
            <w:vAlign w:val="bottom"/>
          </w:tcPr>
          <w:p>
            <w:pPr>
              <w:pStyle w:val="Normal"/>
              <w:jc w:val="center"/>
              <w:rPr>
                <w:color w:val="000000"/>
                <w:sz w:val="20"/>
                <w:szCs w:val="20"/>
              </w:rPr>
            </w:pPr>
            <w:r>
              <w:rPr>
                <w:color w:val="000000"/>
                <w:sz w:val="20"/>
                <w:szCs w:val="20"/>
              </w:rPr>
              <w:t>Баллы участников</w:t>
            </w:r>
          </w:p>
        </w:tc>
      </w:tr>
      <w:tr>
        <w:trPr>
          <w:trHeight w:val="1590" w:hRule="atLeas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Наименование критерия</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Коэффициент значимости показателя критерия</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Участник 2497</w:t>
              <w:br/>
              <w:t xml:space="preserve">ООО «Комплектация СПб» </w:t>
              <w:br/>
              <w:t>(ИНН 7802800371)</w:t>
            </w:r>
          </w:p>
        </w:tc>
        <w:tc>
          <w:tcPr>
            <w:tcW w:w="14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Участник 3463</w:t>
              <w:br/>
              <w:t xml:space="preserve">ООО «ПИРС» </w:t>
              <w:br/>
              <w:t>(ИНН 7801381872)</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Участник 4414</w:t>
              <w:br/>
              <w:t xml:space="preserve">ООО «ДонЭлектроТорг» </w:t>
              <w:br/>
              <w:t>(ИНН 6161083979)</w:t>
            </w:r>
          </w:p>
        </w:tc>
        <w:tc>
          <w:tcPr>
            <w:tcW w:w="12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Участник 5364</w:t>
              <w:br/>
              <w:t xml:space="preserve">ООО «Юпитер» </w:t>
              <w:br/>
              <w:t>(ИНН 5043087527)</w:t>
            </w:r>
          </w:p>
        </w:tc>
        <w:tc>
          <w:tcPr>
            <w:tcW w:w="19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Участник 5516</w:t>
              <w:br/>
              <w:t xml:space="preserve">ООО «ЮНИОНИНВЕСТ» </w:t>
              <w:br/>
              <w:t>(ИНН 9704075305)</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Участник 8512</w:t>
              <w:br/>
              <w:t xml:space="preserve">ООО «Водопад Сервис Групп» </w:t>
              <w:br/>
              <w:t>(ИНН 7802718462)</w:t>
            </w:r>
          </w:p>
        </w:tc>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Участник 9372</w:t>
              <w:br/>
              <w:t>АО «Сибирские инструментальные технологии» (ИНН 5407237690)</w:t>
            </w:r>
          </w:p>
        </w:tc>
      </w:tr>
      <w:tr>
        <w:trPr>
          <w:trHeight w:val="390" w:hRule="atLeas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rPr>
                <w:b/>
                <w:bCs/>
                <w:sz w:val="20"/>
                <w:szCs w:val="20"/>
              </w:rPr>
            </w:pPr>
            <w:r>
              <w:rPr>
                <w:b/>
                <w:bCs/>
                <w:sz w:val="20"/>
                <w:szCs w:val="20"/>
              </w:rPr>
              <w:t>1. Цена договора</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0,85</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55,85</w:t>
            </w:r>
          </w:p>
        </w:tc>
        <w:tc>
          <w:tcPr>
            <w:tcW w:w="14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85,00</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60,14</w:t>
            </w:r>
          </w:p>
        </w:tc>
        <w:tc>
          <w:tcPr>
            <w:tcW w:w="12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30,41</w:t>
            </w:r>
          </w:p>
        </w:tc>
        <w:tc>
          <w:tcPr>
            <w:tcW w:w="19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53,26</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84,49</w:t>
            </w:r>
          </w:p>
        </w:tc>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65,42</w:t>
            </w:r>
          </w:p>
        </w:tc>
      </w:tr>
      <w:tr>
        <w:trPr>
          <w:trHeight w:val="480" w:hRule="atLeas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rPr>
                <w:b/>
                <w:bCs/>
                <w:sz w:val="20"/>
                <w:szCs w:val="20"/>
              </w:rPr>
            </w:pPr>
            <w:r>
              <w:rPr>
                <w:b/>
                <w:bCs/>
                <w:sz w:val="20"/>
                <w:szCs w:val="20"/>
              </w:rPr>
              <w:t>2. Квалификация Участников</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0,15</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11,84</w:t>
            </w:r>
          </w:p>
        </w:tc>
        <w:tc>
          <w:tcPr>
            <w:tcW w:w="14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3,91</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2,50</w:t>
            </w:r>
          </w:p>
        </w:tc>
        <w:tc>
          <w:tcPr>
            <w:tcW w:w="12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0,00</w:t>
            </w:r>
          </w:p>
        </w:tc>
        <w:tc>
          <w:tcPr>
            <w:tcW w:w="19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2,82</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15,00</w:t>
            </w:r>
          </w:p>
        </w:tc>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0,00</w:t>
            </w:r>
          </w:p>
        </w:tc>
      </w:tr>
      <w:tr>
        <w:trPr>
          <w:trHeight w:val="2190" w:hRule="atLeas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rPr>
                <w:i/>
                <w:i/>
                <w:iCs/>
                <w:sz w:val="20"/>
                <w:szCs w:val="20"/>
              </w:rPr>
            </w:pPr>
            <w:r>
              <w:rPr>
                <w:i/>
                <w:iCs/>
                <w:sz w:val="20"/>
                <w:szCs w:val="20"/>
              </w:rPr>
              <w:t>Опыт поставки товаров, аналогичных предмету закупки, за 2022-2024 гг.</w:t>
              <w:br/>
              <w:t>(подтверждается предоставлением формы № 7.4.6, копиями Договоров, товарных накладных или других документов, подтверждающих факт поставки)</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sz w:val="20"/>
                <w:szCs w:val="20"/>
              </w:rPr>
            </w:pPr>
            <w:r>
              <w:rPr>
                <w:i/>
                <w:iCs/>
                <w:sz w:val="20"/>
                <w:szCs w:val="20"/>
              </w:rPr>
              <w:t>100,00</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sz w:val="20"/>
                <w:szCs w:val="20"/>
              </w:rPr>
            </w:pPr>
            <w:r>
              <w:rPr>
                <w:i/>
                <w:iCs/>
                <w:sz w:val="20"/>
                <w:szCs w:val="20"/>
              </w:rPr>
              <w:t>78,92</w:t>
            </w:r>
          </w:p>
        </w:tc>
        <w:tc>
          <w:tcPr>
            <w:tcW w:w="14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sz w:val="20"/>
                <w:szCs w:val="20"/>
              </w:rPr>
            </w:pPr>
            <w:r>
              <w:rPr>
                <w:i/>
                <w:iCs/>
                <w:sz w:val="20"/>
                <w:szCs w:val="20"/>
              </w:rPr>
              <w:t>26,09</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sz w:val="20"/>
                <w:szCs w:val="20"/>
              </w:rPr>
            </w:pPr>
            <w:r>
              <w:rPr>
                <w:i/>
                <w:iCs/>
                <w:sz w:val="20"/>
                <w:szCs w:val="20"/>
              </w:rPr>
              <w:t>16,65</w:t>
            </w:r>
          </w:p>
        </w:tc>
        <w:tc>
          <w:tcPr>
            <w:tcW w:w="12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sz w:val="20"/>
                <w:szCs w:val="20"/>
              </w:rPr>
            </w:pPr>
            <w:r>
              <w:rPr>
                <w:i/>
                <w:iCs/>
                <w:sz w:val="20"/>
                <w:szCs w:val="20"/>
              </w:rPr>
              <w:t>0,00</w:t>
            </w:r>
          </w:p>
        </w:tc>
        <w:tc>
          <w:tcPr>
            <w:tcW w:w="19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sz w:val="20"/>
                <w:szCs w:val="20"/>
              </w:rPr>
            </w:pPr>
            <w:r>
              <w:rPr>
                <w:i/>
                <w:iCs/>
                <w:sz w:val="20"/>
                <w:szCs w:val="20"/>
              </w:rPr>
              <w:t>18,80</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sz w:val="20"/>
                <w:szCs w:val="20"/>
              </w:rPr>
            </w:pPr>
            <w:r>
              <w:rPr>
                <w:i/>
                <w:iCs/>
                <w:sz w:val="20"/>
                <w:szCs w:val="20"/>
              </w:rPr>
              <w:t>100,00</w:t>
            </w:r>
          </w:p>
        </w:tc>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sz w:val="20"/>
                <w:szCs w:val="20"/>
              </w:rPr>
            </w:pPr>
            <w:r>
              <w:rPr>
                <w:i/>
                <w:iCs/>
                <w:sz w:val="20"/>
                <w:szCs w:val="20"/>
              </w:rPr>
              <w:t>0,00</w:t>
            </w:r>
          </w:p>
        </w:tc>
      </w:tr>
      <w:tr>
        <w:trPr>
          <w:trHeight w:val="570" w:hRule="atLeast"/>
        </w:trPr>
        <w:tc>
          <w:tcPr>
            <w:tcW w:w="2411" w:type="dxa"/>
            <w:tcBorders>
              <w:top w:val="single" w:sz="4" w:space="0" w:color="000000"/>
              <w:start w:val="single" w:sz="4" w:space="0" w:color="000000"/>
              <w:bottom w:val="single" w:sz="4" w:space="0" w:color="000000"/>
              <w:end w:val="single" w:sz="4" w:space="0" w:color="000000"/>
            </w:tcBorders>
            <w:vAlign w:val="bottom"/>
          </w:tcPr>
          <w:p>
            <w:pPr>
              <w:pStyle w:val="Normal"/>
              <w:rPr>
                <w:b/>
                <w:bCs/>
                <w:sz w:val="20"/>
                <w:szCs w:val="20"/>
              </w:rPr>
            </w:pPr>
            <w:r>
              <w:rPr>
                <w:b/>
                <w:bCs/>
                <w:sz w:val="20"/>
                <w:szCs w:val="20"/>
              </w:rPr>
              <w:t>Сумма баллов с учетом весовых коэффициентов</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1</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67,69</w:t>
            </w:r>
          </w:p>
        </w:tc>
        <w:tc>
          <w:tcPr>
            <w:tcW w:w="14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88,91</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62,64</w:t>
            </w:r>
          </w:p>
        </w:tc>
        <w:tc>
          <w:tcPr>
            <w:tcW w:w="12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30,41</w:t>
            </w:r>
          </w:p>
        </w:tc>
        <w:tc>
          <w:tcPr>
            <w:tcW w:w="19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56,08</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99,49</w:t>
            </w:r>
          </w:p>
        </w:tc>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65,42</w:t>
            </w:r>
          </w:p>
        </w:tc>
      </w:tr>
      <w:tr>
        <w:trPr>
          <w:trHeight w:val="390" w:hRule="atLeast"/>
        </w:trPr>
        <w:tc>
          <w:tcPr>
            <w:tcW w:w="2411" w:type="dxa"/>
            <w:tcBorders>
              <w:top w:val="single" w:sz="4" w:space="0" w:color="000000"/>
              <w:start w:val="single" w:sz="4" w:space="0" w:color="000000"/>
              <w:bottom w:val="single" w:sz="4" w:space="0" w:color="000000"/>
              <w:end w:val="single" w:sz="4" w:space="0" w:color="000000"/>
            </w:tcBorders>
            <w:vAlign w:val="bottom"/>
          </w:tcPr>
          <w:p>
            <w:pPr>
              <w:pStyle w:val="Normal"/>
              <w:rPr>
                <w:b/>
                <w:bCs/>
                <w:sz w:val="20"/>
                <w:szCs w:val="20"/>
              </w:rPr>
            </w:pPr>
            <w:r>
              <w:rPr>
                <w:b/>
                <w:bCs/>
                <w:sz w:val="20"/>
                <w:szCs w:val="20"/>
              </w:rPr>
              <w:t>Ранжирование предложений</w:t>
            </w:r>
          </w:p>
        </w:tc>
        <w:tc>
          <w:tcPr>
            <w:tcW w:w="1370" w:type="dxa"/>
            <w:tcBorders>
              <w:top w:val="single" w:sz="4" w:space="0" w:color="000000"/>
              <w:start w:val="single" w:sz="4" w:space="0" w:color="000000"/>
              <w:bottom w:val="single" w:sz="4" w:space="0" w:color="000000"/>
              <w:end w:val="single" w:sz="4" w:space="0" w:color="000000"/>
            </w:tcBorders>
            <w:vAlign w:val="bottom"/>
          </w:tcPr>
          <w:p>
            <w:pPr>
              <w:pStyle w:val="Normal"/>
              <w:rPr>
                <w:b/>
                <w:bCs/>
                <w:sz w:val="20"/>
                <w:szCs w:val="20"/>
              </w:rPr>
            </w:pPr>
            <w:r>
              <w:rPr>
                <w:b/>
                <w:bCs/>
                <w:sz w:val="20"/>
                <w:szCs w:val="20"/>
              </w:rPr>
              <w:t> </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3</w:t>
            </w:r>
          </w:p>
        </w:tc>
        <w:tc>
          <w:tcPr>
            <w:tcW w:w="14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2</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5</w:t>
            </w:r>
          </w:p>
        </w:tc>
        <w:tc>
          <w:tcPr>
            <w:tcW w:w="12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7</w:t>
            </w:r>
          </w:p>
        </w:tc>
        <w:tc>
          <w:tcPr>
            <w:tcW w:w="19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6</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1</w:t>
            </w:r>
          </w:p>
        </w:tc>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4</w:t>
            </w:r>
          </w:p>
        </w:tc>
      </w:tr>
      <w:tr>
        <w:trPr>
          <w:trHeight w:val="606" w:hRule="atLeas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rPr>
                <w:b/>
                <w:sz w:val="20"/>
                <w:szCs w:val="20"/>
              </w:rPr>
            </w:pPr>
            <w:r>
              <w:rPr>
                <w:b/>
                <w:sz w:val="20"/>
                <w:szCs w:val="20"/>
              </w:rPr>
              <w:t>Предлагается признать победителем:</w:t>
            </w:r>
          </w:p>
        </w:tc>
        <w:tc>
          <w:tcPr>
            <w:tcW w:w="12547" w:type="dxa"/>
            <w:gridSpan w:val="8"/>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szCs w:val="20"/>
              </w:rPr>
            </w:pPr>
            <w:r>
              <w:rPr>
                <w:b/>
                <w:bCs/>
                <w:sz w:val="20"/>
                <w:szCs w:val="20"/>
              </w:rPr>
              <w:t>Участник 8512</w:t>
              <w:br/>
              <w:t>ООО «Водопад Сервис Групп» (ИНН 7802718462)</w:t>
            </w:r>
          </w:p>
        </w:tc>
      </w:tr>
    </w:tbl>
    <w:p>
      <w:pPr>
        <w:pStyle w:val="Normal"/>
        <w:widowControl w:val="false"/>
        <w:spacing w:before="120" w:after="120"/>
        <w:rPr>
          <w:b/>
          <w:sz w:val="20"/>
          <w:szCs w:val="20"/>
        </w:rPr>
      </w:pPr>
      <w:r>
        <w:rPr>
          <w:b/>
          <w:sz w:val="20"/>
          <w:szCs w:val="20"/>
        </w:rPr>
      </w:r>
    </w:p>
    <w:sectPr>
      <w:footerReference w:type="default" r:id="rId4"/>
      <w:footerReference w:type="first" r:id="rId5"/>
      <w:type w:val="nextPage"/>
      <w:pgSz w:orient="landscape" w:w="16838" w:h="11906"/>
      <w:pgMar w:left="1134" w:right="440" w:gutter="0" w:header="0" w:top="851" w:footer="709" w:bottom="765"/>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 w:name="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lvl>
    <w:lvl w:ilvl="1">
      <w:start w:val="1"/>
      <w:numFmt w:val="decimal"/>
      <w:lvlText w:val="%1.%2."/>
      <w:lvlJc w:val="start"/>
      <w:pPr>
        <w:tabs>
          <w:tab w:val="num" w:pos="0"/>
        </w:tabs>
        <w:ind w:start="792" w:hanging="432"/>
      </w:p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abstractNum w:abstractNumId="3">
    <w:lvl w:ilvl="0">
      <w:start w:val="1"/>
      <w:numFmt w:val="decimal"/>
      <w:lvlText w:val="%1."/>
      <w:lvlJc w:val="start"/>
      <w:pPr>
        <w:tabs>
          <w:tab w:val="num" w:pos="0"/>
        </w:tabs>
        <w:ind w:start="360" w:hanging="360"/>
      </w:pPr>
      <w:rPr>
        <w:i w:val="false"/>
      </w:rPr>
    </w:lvl>
    <w:lvl w:ilvl="1">
      <w:start w:val="1"/>
      <w:numFmt w:val="decimal"/>
      <w:lvlText w:val="%1.%2."/>
      <w:lvlJc w:val="start"/>
      <w:pPr>
        <w:tabs>
          <w:tab w:val="num" w:pos="0"/>
        </w:tabs>
        <w:ind w:start="792" w:hanging="432"/>
      </w:p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abstractNum w:abstractNumId="4">
    <w:lvl w:ilvl="0">
      <w:start w:val="1"/>
      <w:numFmt w:val="decimal"/>
      <w:lvlText w:val="%1."/>
      <w:lvlJc w:val="start"/>
      <w:pPr>
        <w:tabs>
          <w:tab w:val="num" w:pos="1134"/>
        </w:tabs>
        <w:ind w:start="0" w:firstLine="567"/>
      </w:pPr>
      <w:rPr/>
    </w:lvl>
    <w:lvl w:ilvl="1">
      <w:start w:val="1"/>
      <w:numFmt w:val="decimal"/>
      <w:lvlText w:val="%1.%2."/>
      <w:lvlJc w:val="start"/>
      <w:pPr>
        <w:tabs>
          <w:tab w:val="num" w:pos="708"/>
        </w:tabs>
        <w:ind w:start="2126" w:hanging="708"/>
      </w:pPr>
      <w:rPr/>
    </w:lvl>
    <w:lvl w:ilvl="2">
      <w:start w:val="1"/>
      <w:numFmt w:val="decimal"/>
      <w:lvlText w:val="%1.%2.%3."/>
      <w:lvlJc w:val="start"/>
      <w:pPr>
        <w:tabs>
          <w:tab w:val="num" w:pos="2835"/>
        </w:tabs>
        <w:ind w:start="2835" w:hanging="708"/>
      </w:pPr>
      <w:rPr/>
    </w:lvl>
    <w:lvl w:ilvl="3">
      <w:start w:val="1"/>
      <w:numFmt w:val="decimal"/>
      <w:lvlText w:val="%1.%2.%3.%4."/>
      <w:lvlJc w:val="start"/>
      <w:pPr>
        <w:tabs>
          <w:tab w:val="num" w:pos="708"/>
        </w:tabs>
        <w:ind w:start="3540" w:hanging="708"/>
      </w:pPr>
      <w:rPr/>
    </w:lvl>
    <w:lvl w:ilvl="4">
      <w:start w:val="1"/>
      <w:numFmt w:val="decimal"/>
      <w:lvlText w:val="%1.%2.%3.%4.%5."/>
      <w:lvlJc w:val="start"/>
      <w:pPr>
        <w:tabs>
          <w:tab w:val="num" w:pos="708"/>
        </w:tabs>
        <w:ind w:start="4248" w:hanging="708"/>
      </w:pPr>
      <w:rPr/>
    </w:lvl>
    <w:lvl w:ilvl="5">
      <w:start w:val="0"/>
      <w:numFmt w:val="none"/>
      <w:suff w:val="nothing"/>
      <w:lvlText w:val=""/>
      <w:lvlJc w:val="start"/>
      <w:pPr>
        <w:tabs>
          <w:tab w:val="num" w:pos="360"/>
        </w:tabs>
        <w:ind w:start="0" w:hanging="0"/>
      </w:pPr>
    </w:lvl>
    <w:lvl w:ilvl="6">
      <w:start w:val="1"/>
      <w:numFmt w:val="decimal"/>
      <w:lvlText w:val="%1.%2.%3.%4.%5.%6%7."/>
      <w:lvlJc w:val="start"/>
      <w:pPr>
        <w:tabs>
          <w:tab w:val="num" w:pos="708"/>
        </w:tabs>
        <w:ind w:start="5664" w:hanging="708"/>
      </w:pPr>
      <w:rPr/>
    </w:lvl>
    <w:lvl w:ilvl="7">
      <w:start w:val="1"/>
      <w:numFmt w:val="decimal"/>
      <w:lvlText w:val="%1.%2.%3.%4.%5.%6%7.%8."/>
      <w:lvlJc w:val="start"/>
      <w:pPr>
        <w:tabs>
          <w:tab w:val="num" w:pos="708"/>
        </w:tabs>
        <w:ind w:start="6372" w:hanging="708"/>
      </w:pPr>
      <w:rPr/>
    </w:lvl>
    <w:lvl w:ilvl="8">
      <w:start w:val="1"/>
      <w:numFmt w:val="decimal"/>
      <w:lvlText w:val="%1.%2.%3.%4.%5.%6%7.%8.%9."/>
      <w:lvlJc w:val="start"/>
      <w:pPr>
        <w:tabs>
          <w:tab w:val="num" w:pos="708"/>
        </w:tabs>
        <w:ind w:start="7080" w:hanging="708"/>
      </w:pPr>
      <w:rPr/>
    </w:lvl>
  </w:abstractNum>
  <w:abstractNum w:abstractNumId="5">
    <w:lvl w:ilvl="0">
      <w:start w:val="1"/>
      <w:numFmt w:val="bullet"/>
      <w:lvlText w:val=""/>
      <w:lvlJc w:val="start"/>
      <w:pPr>
        <w:tabs>
          <w:tab w:val="num" w:pos="1440"/>
        </w:tabs>
        <w:ind w:start="1440" w:hanging="360"/>
      </w:pPr>
      <w:rPr>
        <w:rFonts w:ascii="Symbol" w:hAnsi="Symbol" w:cs="Symbol" w:hint="default"/>
        <w:sz w:val="16"/>
        <w:i w:val="false"/>
        <w:b w:val="false"/>
        <w:color w:val="00000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both"/>
      <w:outlineLvl w:val="0"/>
    </w:pPr>
    <w:rPr>
      <w:sz w:val="28"/>
      <w:szCs w:val="28"/>
    </w:rPr>
  </w:style>
  <w:style w:type="paragraph" w:styleId="Heading2">
    <w:name w:val="heading 2"/>
    <w:basedOn w:val="Normal"/>
    <w:next w:val="Normal"/>
    <w:qFormat/>
    <w:pPr>
      <w:keepNext w:val="true"/>
      <w:numPr>
        <w:ilvl w:val="1"/>
        <w:numId w:val="1"/>
      </w:numPr>
      <w:tabs>
        <w:tab w:val="clear" w:pos="708"/>
        <w:tab w:val="left" w:pos="1134" w:leader="none"/>
      </w:tabs>
      <w:suppressAutoHyphens w:val="true"/>
      <w:spacing w:before="360" w:after="120"/>
      <w:ind w:hanging="1134" w:start="1134" w:end="0"/>
      <w:outlineLvl w:val="1"/>
    </w:pPr>
    <w:rPr>
      <w:b/>
      <w:sz w:val="32"/>
      <w:szCs w:val="20"/>
      <w:lang w:val="en-U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z w:val="20"/>
      <w:szCs w:val="20"/>
    </w:rPr>
  </w:style>
  <w:style w:type="character" w:styleId="WW8Num5z0">
    <w:name w:val="WW8Num5z0"/>
    <w:qFormat/>
    <w:rPr/>
  </w:style>
  <w:style w:type="character" w:styleId="WW8Num6z0">
    <w:name w:val="WW8Num6z0"/>
    <w:qFormat/>
    <w:rPr>
      <w:i w:val="false"/>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color w:val="000000"/>
    </w:rPr>
  </w:style>
  <w:style w:type="character" w:styleId="WW8Num11z0">
    <w:name w:val="WW8Num11z0"/>
    <w:qFormat/>
    <w:rPr/>
  </w:style>
  <w:style w:type="character" w:styleId="WW8Num12z0">
    <w:name w:val="WW8Num12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15z0">
    <w:name w:val="WW8Num15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16z0">
    <w:name w:val="WW8Num16z0"/>
    <w:qFormat/>
    <w:rPr/>
  </w:style>
  <w:style w:type="character" w:styleId="WW8Num17z0">
    <w:name w:val="WW8Num17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18z0">
    <w:name w:val="WW8Num18z0"/>
    <w:qFormat/>
    <w:rPr>
      <w:sz w:val="24"/>
      <w:szCs w:val="24"/>
    </w:rPr>
  </w:style>
  <w:style w:type="character" w:styleId="WW8Num18z1">
    <w:name w:val="WW8Num18z1"/>
    <w:qFormat/>
    <w:rPr>
      <w:rFonts w:ascii="Symbol" w:hAnsi="Symbol" w:cs="Symbol"/>
      <w:b w:val="false"/>
      <w:i w:val="false"/>
      <w:color w:val="000000"/>
      <w:sz w:val="24"/>
    </w:rPr>
  </w:style>
  <w:style w:type="character" w:styleId="WW8Num19z0">
    <w:name w:val="WW8Num19z0"/>
    <w:qFormat/>
    <w:rPr/>
  </w:style>
  <w:style w:type="character" w:styleId="WW8Num19z1">
    <w:name w:val="WW8Num19z1"/>
    <w:qFormat/>
    <w:rPr>
      <w:b/>
      <w:sz w:val="26"/>
      <w:szCs w:val="26"/>
    </w:rPr>
  </w:style>
  <w:style w:type="character" w:styleId="WW8Num19z2">
    <w:name w:val="WW8Num19z2"/>
    <w:qFormat/>
    <w:rPr>
      <w:b w:val="false"/>
      <w:i w:val="false"/>
    </w:rPr>
  </w:style>
  <w:style w:type="character" w:styleId="WW8Num20z0">
    <w:name w:val="WW8Num20z0"/>
    <w:qFormat/>
    <w:rPr>
      <w:rFonts w:ascii="Symbol" w:hAnsi="Symbol" w:cs="Symbol"/>
      <w:b w:val="false"/>
      <w:i w:val="false"/>
      <w:color w:val="000000"/>
      <w:sz w:val="24"/>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22z0">
    <w:name w:val="WW8Num22z0"/>
    <w:qFormat/>
    <w:rPr>
      <w:sz w:val="20"/>
      <w:szCs w:val="20"/>
    </w:rPr>
  </w:style>
  <w:style w:type="character" w:styleId="WW8Num23z0">
    <w:name w:val="WW8Num23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24z0">
    <w:name w:val="WW8Num24z0"/>
    <w:qFormat/>
    <w:rPr/>
  </w:style>
  <w:style w:type="character" w:styleId="WW8Num26z0">
    <w:name w:val="WW8Num26z0"/>
    <w:qFormat/>
    <w:rPr>
      <w:sz w:val="24"/>
      <w:szCs w:val="24"/>
    </w:rPr>
  </w:style>
  <w:style w:type="character" w:styleId="WW8Num26z1">
    <w:name w:val="WW8Num26z1"/>
    <w:qFormat/>
    <w:rPr>
      <w:rFonts w:ascii="Symbol" w:hAnsi="Symbol" w:cs="Symbol"/>
      <w:b w:val="false"/>
      <w:i w:val="false"/>
      <w:sz w:val="24"/>
    </w:rPr>
  </w:style>
  <w:style w:type="character" w:styleId="WW8Num27z0">
    <w:name w:val="WW8Num27z0"/>
    <w:qFormat/>
    <w:rPr>
      <w:sz w:val="20"/>
      <w:szCs w:val="20"/>
    </w:rPr>
  </w:style>
  <w:style w:type="character" w:styleId="WW8Num29z0">
    <w:name w:val="WW8Num29z0"/>
    <w:qFormat/>
    <w:rPr/>
  </w:style>
  <w:style w:type="character" w:styleId="WW8Num29z1">
    <w:name w:val="WW8Num29z1"/>
    <w:qFormat/>
    <w:rPr>
      <w:color w:val="000000"/>
    </w:rPr>
  </w:style>
  <w:style w:type="character" w:styleId="WW8Num30z0">
    <w:name w:val="WW8Num30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31z0">
    <w:name w:val="WW8Num31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32z1">
    <w:name w:val="WW8Num32z1"/>
    <w:qFormat/>
    <w:rPr>
      <w:rFonts w:ascii="Symbol" w:hAnsi="Symbol" w:cs="Symbol"/>
      <w:b w:val="false"/>
      <w:i w:val="false"/>
      <w:color w:val="000000"/>
      <w:sz w:val="16"/>
    </w:rPr>
  </w:style>
  <w:style w:type="character" w:styleId="WW8Num33z0">
    <w:name w:val="WW8Num33z0"/>
    <w:qFormat/>
    <w:rPr>
      <w:rFonts w:ascii="Times New Roman" w:hAnsi="Times New Roman" w:cs="Times New Roman"/>
      <w:b w:val="false"/>
      <w:i w:val="false"/>
      <w:caps w:val="false"/>
      <w:smallCaps w:val="false"/>
      <w:strike w:val="false"/>
      <w:dstrike w:val="false"/>
      <w:outline w:val="false"/>
      <w:shadow w:val="false"/>
      <w:vanish w:val="false"/>
      <w:position w:val="0"/>
      <w:sz w:val="28"/>
      <w:sz w:val="28"/>
      <w:szCs w:val="28"/>
      <w:vertAlign w:val="baseline"/>
    </w:rPr>
  </w:style>
  <w:style w:type="character" w:styleId="WW8Num33z1">
    <w:name w:val="WW8Num33z1"/>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8"/>
      <w:vertAlign w:val="baseline"/>
    </w:rPr>
  </w:style>
  <w:style w:type="character" w:styleId="WW8Num34z0">
    <w:name w:val="WW8Num34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35z0">
    <w:name w:val="WW8Num35z0"/>
    <w:qFormat/>
    <w:rPr>
      <w:rFonts w:ascii="Symbol" w:hAnsi="Symbol" w:cs="Symbol"/>
      <w:b w:val="false"/>
      <w:i w:val="false"/>
      <w:color w:val="000000"/>
      <w:sz w:val="16"/>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Style12">
    <w:name w:val="Основной шрифт абзаца"/>
    <w:qFormat/>
    <w:rPr/>
  </w:style>
  <w:style w:type="character" w:styleId="PageNumber">
    <w:name w:val="page number"/>
    <w:basedOn w:val="Style12"/>
    <w:rPr/>
  </w:style>
  <w:style w:type="character" w:styleId="Style13">
    <w:name w:val="комментарий"/>
    <w:qFormat/>
    <w:rPr>
      <w:b/>
      <w:i/>
      <w:shd w:fill="FFFF99" w:val="clear"/>
    </w:rPr>
  </w:style>
  <w:style w:type="character" w:styleId="Style14">
    <w:name w:val="Комментраий Знак"/>
    <w:qFormat/>
    <w:rPr>
      <w:i/>
      <w:color w:val="3366FF"/>
      <w:sz w:val="28"/>
      <w:szCs w:val="28"/>
      <w:lang w:val="ru-RU" w:bidi="ar-SA"/>
    </w:rPr>
  </w:style>
  <w:style w:type="character" w:styleId="Style15">
    <w:name w:val="Нижний колонтитул Знак"/>
    <w:qFormat/>
    <w:rPr>
      <w:sz w:val="24"/>
      <w:szCs w:val="24"/>
    </w:rPr>
  </w:style>
  <w:style w:type="character" w:styleId="Style16">
    <w:name w:val="Подподпункт Знак"/>
    <w:qFormat/>
    <w:rPr>
      <w:sz w:val="28"/>
    </w:rPr>
  </w:style>
  <w:style w:type="character" w:styleId="FontStyle128">
    <w:name w:val="Font Style128"/>
    <w:qFormat/>
    <w:rPr>
      <w:rFonts w:ascii="Times New Roman" w:hAnsi="Times New Roman" w:cs="Times New Roman"/>
      <w:color w:val="000000"/>
      <w:sz w:val="26"/>
      <w:szCs w:val="26"/>
    </w:rPr>
  </w:style>
  <w:style w:type="character" w:styleId="2">
    <w:name w:val="Заголовок 2 Знак"/>
    <w:qFormat/>
    <w:rPr>
      <w:b/>
      <w:sz w:val="32"/>
    </w:rPr>
  </w:style>
  <w:style w:type="character" w:styleId="Style17">
    <w:name w:val="Основной текст с отступом Знак"/>
    <w:qFormat/>
    <w:rPr>
      <w:sz w:val="24"/>
      <w:szCs w:val="24"/>
    </w:rPr>
  </w:style>
  <w:style w:type="character" w:styleId="Style18">
    <w:name w:val="Основной текст Знак"/>
    <w:qFormat/>
    <w:rPr>
      <w:sz w:val="24"/>
      <w:szCs w:val="24"/>
    </w:rPr>
  </w:style>
  <w:style w:type="character" w:styleId="Style19">
    <w:name w:val="Знак примечания"/>
    <w:qFormat/>
    <w:rPr>
      <w:sz w:val="16"/>
      <w:szCs w:val="16"/>
    </w:rPr>
  </w:style>
  <w:style w:type="character" w:styleId="Style20">
    <w:name w:val="Текст примечания Знак"/>
    <w:basedOn w:val="Style12"/>
    <w:qFormat/>
    <w:rPr/>
  </w:style>
  <w:style w:type="character" w:styleId="Style21">
    <w:name w:val="Тема примечания Знак"/>
    <w:qFormat/>
    <w:rPr>
      <w:b/>
      <w:bCs/>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
    <w:name w:val="Default Paragraph Font Para Char Char Знак"/>
    <w:basedOn w:val="Normal"/>
    <w:qFormat/>
    <w:pPr>
      <w:spacing w:lineRule="exact" w:line="240" w:before="0" w:after="160"/>
    </w:pPr>
    <w:rPr>
      <w:rFonts w:ascii="Verdana" w:hAnsi="Verdana" w:cs="Verdana"/>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аблица шапка"/>
    <w:basedOn w:val="Normal"/>
    <w:qFormat/>
    <w:pPr>
      <w:keepNext w:val="true"/>
      <w:spacing w:before="40" w:after="40"/>
      <w:ind w:hanging="0" w:start="57" w:end="57"/>
    </w:pPr>
    <w:rPr>
      <w:sz w:val="22"/>
      <w:szCs w:val="20"/>
    </w:rPr>
  </w:style>
  <w:style w:type="paragraph" w:styleId="Style23">
    <w:name w:val="Таблица текст"/>
    <w:basedOn w:val="Normal"/>
    <w:qFormat/>
    <w:pPr>
      <w:spacing w:before="40" w:after="40"/>
      <w:ind w:hanging="0" w:start="57" w:end="57"/>
    </w:pPr>
    <w:rPr>
      <w:szCs w:val="20"/>
    </w:rPr>
  </w:style>
  <w:style w:type="paragraph" w:styleId="Style24">
    <w:name w:val="Схема документа"/>
    <w:basedOn w:val="Normal"/>
    <w:qFormat/>
    <w:pPr>
      <w:shd w:fill="000080" w:val="clear"/>
    </w:pPr>
    <w:rPr>
      <w:rFonts w:ascii="Tahoma" w:hAnsi="Tahoma" w:cs="Tahoma"/>
      <w:sz w:val="20"/>
      <w:szCs w:val="20"/>
    </w:rPr>
  </w:style>
  <w:style w:type="paragraph" w:styleId="Style25">
    <w:name w:val="Текст выноски"/>
    <w:basedOn w:val="Normal"/>
    <w:qFormat/>
    <w:pPr/>
    <w:rPr>
      <w:rFonts w:ascii="Tahoma" w:hAnsi="Tahoma" w:cs="Tahoma"/>
      <w:sz w:val="16"/>
      <w:szCs w:val="16"/>
    </w:rPr>
  </w:style>
  <w:style w:type="paragraph" w:styleId="Footer">
    <w:name w:val="footer"/>
    <w:basedOn w:val="Normal"/>
    <w:pPr>
      <w:tabs>
        <w:tab w:val="clear" w:pos="708"/>
        <w:tab w:val="center" w:pos="4677" w:leader="none"/>
        <w:tab w:val="right" w:pos="9355" w:leader="none"/>
      </w:tabs>
    </w:pPr>
    <w:rPr>
      <w:lang w:val="en-US"/>
    </w:rPr>
  </w:style>
  <w:style w:type="paragraph" w:styleId="Style26">
    <w:name w:val="Обычный (веб)"/>
    <w:basedOn w:val="Normal"/>
    <w:qFormat/>
    <w:pPr>
      <w:spacing w:before="280" w:after="280"/>
    </w:pPr>
    <w:rPr>
      <w:rFonts w:ascii="Arial" w:hAnsi="Arial" w:cs="Arial"/>
      <w:color w:val="283555"/>
      <w:sz w:val="20"/>
      <w:szCs w:val="20"/>
    </w:rPr>
  </w:style>
  <w:style w:type="paragraph" w:styleId="Style27">
    <w:name w:val="Подподпункт"/>
    <w:basedOn w:val="Normal"/>
    <w:qFormat/>
    <w:pPr>
      <w:numPr>
        <w:ilvl w:val="0"/>
        <w:numId w:val="4"/>
      </w:numPr>
      <w:tabs>
        <w:tab w:val="clear" w:pos="708"/>
        <w:tab w:val="left" w:pos="927" w:leader="none"/>
      </w:tabs>
      <w:spacing w:lineRule="auto" w:line="360"/>
      <w:ind w:hanging="360" w:start="927" w:end="0"/>
      <w:jc w:val="both"/>
    </w:pPr>
    <w:rPr>
      <w:sz w:val="28"/>
      <w:szCs w:val="20"/>
      <w:lang w:val="en-US"/>
    </w:rPr>
  </w:style>
  <w:style w:type="paragraph" w:styleId="Style28">
    <w:name w:val="Абзац списка"/>
    <w:basedOn w:val="Normal"/>
    <w:qFormat/>
    <w:pPr>
      <w:widowControl w:val="false"/>
      <w:autoSpaceDE w:val="false"/>
      <w:spacing w:before="0" w:after="0"/>
      <w:ind w:hanging="0" w:start="720" w:end="0"/>
      <w:contextualSpacing/>
    </w:pPr>
    <w:rPr/>
  </w:style>
  <w:style w:type="paragraph" w:styleId="Style29">
    <w:name w:val="Пункт"/>
    <w:basedOn w:val="Normal"/>
    <w:qFormat/>
    <w:pPr>
      <w:tabs>
        <w:tab w:val="clear" w:pos="708"/>
        <w:tab w:val="left" w:pos="1134" w:leader="none"/>
      </w:tabs>
      <w:spacing w:lineRule="auto" w:line="360"/>
      <w:ind w:hanging="1134" w:start="1134" w:end="0"/>
      <w:jc w:val="both"/>
    </w:pPr>
    <w:rPr>
      <w:sz w:val="28"/>
      <w:szCs w:val="20"/>
    </w:rPr>
  </w:style>
  <w:style w:type="paragraph" w:styleId="BodyTextIndent">
    <w:name w:val="Body Text Indent"/>
    <w:basedOn w:val="Normal"/>
    <w:pPr>
      <w:ind w:hanging="0" w:start="-720" w:end="0"/>
      <w:jc w:val="both"/>
    </w:pPr>
    <w:rPr>
      <w:lang w:val="en-US"/>
    </w:rPr>
  </w:style>
  <w:style w:type="paragraph" w:styleId="Style30">
    <w:name w:val="Нумерованный список"/>
    <w:basedOn w:val="BodyText"/>
    <w:qFormat/>
    <w:pPr>
      <w:tabs>
        <w:tab w:val="clear" w:pos="708"/>
        <w:tab w:val="left" w:pos="360" w:leader="none"/>
      </w:tabs>
      <w:autoSpaceDE w:val="false"/>
      <w:spacing w:lineRule="auto" w:line="360" w:before="60" w:after="0"/>
      <w:jc w:val="both"/>
    </w:pPr>
    <w:rPr>
      <w:sz w:val="28"/>
    </w:rPr>
  </w:style>
  <w:style w:type="paragraph" w:styleId="Style31">
    <w:name w:val="Текст примечания"/>
    <w:basedOn w:val="Normal"/>
    <w:qFormat/>
    <w:pPr/>
    <w:rPr>
      <w:sz w:val="20"/>
      <w:szCs w:val="20"/>
    </w:rPr>
  </w:style>
  <w:style w:type="paragraph" w:styleId="Style32">
    <w:name w:val="Тема примечания"/>
    <w:basedOn w:val="Style31"/>
    <w:next w:val="Style31"/>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2022-08-17T07:40:00Z</dcterms:created>
  <dc:creator/>
  <dc:description/>
  <cp:keywords/>
  <dc:language>en-US</dc:language>
  <cp:lastModifiedBy/>
  <dcterms:modified xsi:type="dcterms:W3CDTF">2025-12-12T07:30:00Z</dcterms:modified>
  <cp:revision>1</cp:revision>
  <dc:subject/>
  <dc:title>Протокол вскрытия конвертов</dc:title>
</cp:coreProperties>
</file>