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0"/>
        </w:numPr>
        <w:outlineLvl w:val="0"/>
        <w:rPr>
          <w:caps/>
          <w:sz w:val="24"/>
          <w:szCs w:val="24"/>
        </w:rPr>
      </w:pPr>
      <w:r>
        <w:rPr>
          <w:caps/>
          <w:sz w:val="24"/>
          <w:szCs w:val="24"/>
        </w:rPr>
        <w:t>протокол № 04/1224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рассмотрения 2-х частей заявок на участие в конкурсе в электронной форме № 02/2025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p>
      <w:pPr>
        <w:pStyle w:val="BodyTextIndent"/>
        <w:ind w:start="0" w:end="0"/>
        <w:jc w:val="both"/>
        <w:rPr/>
      </w:pPr>
      <w:r>
        <w:rPr>
          <w:sz w:val="24"/>
          <w:szCs w:val="24"/>
        </w:rPr>
        <w:t>Московская область, г.о. Раменский, рп. Быково</w:t>
      </w:r>
      <w:r>
        <w:rPr>
          <w:bCs/>
          <w:sz w:val="24"/>
          <w:szCs w:val="24"/>
        </w:rPr>
        <w:tab/>
        <w:t xml:space="preserve">        </w:t>
        <w:tab/>
        <w:tab/>
        <w:t xml:space="preserve">            </w:t>
      </w:r>
      <w:r>
        <w:rPr>
          <w:bCs/>
          <w:color w:val="000000"/>
          <w:sz w:val="24"/>
          <w:szCs w:val="24"/>
        </w:rPr>
        <w:t>«03» марта 2025г.</w:t>
      </w:r>
    </w:p>
    <w:p>
      <w:pPr>
        <w:pStyle w:val="BodyTextIndent"/>
        <w:ind w:start="0" w:end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spacing w:lineRule="atLeast" w:line="240"/>
        <w:jc w:val="both"/>
        <w:outlineLvl w:val="0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1. Заказчик</w:t>
      </w:r>
    </w:p>
    <w:p>
      <w:pPr>
        <w:pStyle w:val="BodyText"/>
        <w:spacing w:before="0" w:after="0"/>
        <w:rPr/>
      </w:pPr>
      <w:r>
        <w:rPr>
          <w:b/>
          <w:sz w:val="24"/>
          <w:szCs w:val="24"/>
        </w:rPr>
        <w:t>Наименование:</w:t>
      </w:r>
      <w:r>
        <w:rPr>
          <w:sz w:val="24"/>
          <w:szCs w:val="24"/>
        </w:rPr>
        <w:t xml:space="preserve"> Федеральное государственное бюджетное учреждение «Всероссийский центр карантина растений» (ФГБУ «ВНИИКР»)</w:t>
      </w:r>
    </w:p>
    <w:p>
      <w:pPr>
        <w:pStyle w:val="BodyText"/>
        <w:spacing w:before="0" w:after="0"/>
        <w:rPr/>
      </w:pPr>
      <w:r>
        <w:rPr>
          <w:b/>
          <w:sz w:val="24"/>
          <w:szCs w:val="24"/>
        </w:rPr>
        <w:t>Место нахождения:</w:t>
      </w:r>
      <w:r>
        <w:rPr>
          <w:sz w:val="24"/>
          <w:szCs w:val="24"/>
        </w:rPr>
        <w:t xml:space="preserve"> 140150, Московская область, г.о. Раменский, р. п. Быково, </w:t>
        <w:br/>
        <w:t>ул. Пограничная, д. 32</w:t>
      </w:r>
    </w:p>
    <w:p>
      <w:pPr>
        <w:pStyle w:val="BodyText"/>
        <w:spacing w:before="0" w:after="0"/>
        <w:rPr/>
      </w:pPr>
      <w:r>
        <w:rPr>
          <w:b/>
          <w:sz w:val="24"/>
          <w:szCs w:val="24"/>
        </w:rPr>
        <w:t xml:space="preserve">Почтовый адрес: </w:t>
      </w:r>
      <w:r>
        <w:rPr>
          <w:sz w:val="24"/>
          <w:szCs w:val="24"/>
        </w:rPr>
        <w:t xml:space="preserve">140150, Московская область, г.о. Раменский, р. п. Быково, </w:t>
        <w:br/>
        <w:t>ул. Пограничная, д. 32</w:t>
      </w:r>
    </w:p>
    <w:p>
      <w:pPr>
        <w:pStyle w:val="Normal"/>
        <w:jc w:val="both"/>
        <w:rPr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Адрес электронной почты: </w:t>
      </w:r>
      <w:hyperlink r:id="rId2">
        <w:r>
          <w:rPr>
            <w:rStyle w:val="Hyperlink"/>
            <w:sz w:val="24"/>
            <w:szCs w:val="24"/>
            <w:lang w:val="en-US"/>
          </w:rPr>
          <w:t>zakupki</w:t>
        </w:r>
        <w:r>
          <w:rPr>
            <w:rStyle w:val="Hyperlink"/>
            <w:sz w:val="24"/>
            <w:szCs w:val="24"/>
          </w:rPr>
          <w:t>@vniikr.ru</w:t>
        </w:r>
      </w:hyperlink>
    </w:p>
    <w:p>
      <w:pPr>
        <w:pStyle w:val="Normal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Номер контактного телефона: </w:t>
      </w:r>
      <w:r>
        <w:rPr>
          <w:sz w:val="24"/>
          <w:szCs w:val="24"/>
        </w:rPr>
        <w:t>(499) 707-22-27 доб. 1801</w:t>
      </w:r>
    </w:p>
    <w:p>
      <w:pPr>
        <w:pStyle w:val="Normal"/>
        <w:spacing w:before="240"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>На заседании комиссии по рассмотрению вторых частей заявок на участие в конкурсе в электронной форме присутствовали:</w:t>
      </w:r>
    </w:p>
    <w:tbl>
      <w:tblPr>
        <w:tblW w:w="99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4"/>
        <w:gridCol w:w="6662"/>
      </w:tblGrid>
      <w:tr>
        <w:trPr/>
        <w:tc>
          <w:tcPr>
            <w:tcW w:w="3254" w:type="dxa"/>
            <w:tcBorders/>
          </w:tcPr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Председатель комиссии:</w:t>
            </w:r>
          </w:p>
        </w:tc>
        <w:tc>
          <w:tcPr>
            <w:tcW w:w="6662" w:type="dxa"/>
            <w:tcBorders/>
          </w:tcPr>
          <w:p>
            <w:pPr>
              <w:pStyle w:val="Normal"/>
              <w:snapToGrid w:val="false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54" w:type="dxa"/>
            <w:tcBorders/>
          </w:tcPr>
          <w:p>
            <w:pPr>
              <w:pStyle w:val="Normal"/>
              <w:jc w:val="both"/>
              <w:rPr/>
            </w:pPr>
            <w:r>
              <w:rPr>
                <w:sz w:val="24"/>
                <w:szCs w:val="24"/>
                <w:lang w:val="en-US"/>
              </w:rPr>
              <w:t xml:space="preserve">   </w:t>
            </w:r>
            <w:r>
              <w:rPr>
                <w:sz w:val="24"/>
                <w:szCs w:val="24"/>
              </w:rPr>
              <w:t>Л.В. Чигирина</w:t>
            </w:r>
          </w:p>
        </w:tc>
        <w:tc>
          <w:tcPr>
            <w:tcW w:w="6662" w:type="dxa"/>
            <w:tcBorders/>
          </w:tcPr>
          <w:p>
            <w:pPr>
              <w:pStyle w:val="Normal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заместитель директора</w:t>
            </w:r>
          </w:p>
        </w:tc>
      </w:tr>
      <w:tr>
        <w:trPr/>
        <w:tc>
          <w:tcPr>
            <w:tcW w:w="3254" w:type="dxa"/>
            <w:tcBorders/>
          </w:tcPr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Члены комиссии: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>О.И. Баранова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>А.Н. Овсянников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>П.В. Логунков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>Н.Г. Ващенко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>Н.П. Васильчик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Секретарь комиссии: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(без права голоса)</w:t>
            </w:r>
          </w:p>
        </w:tc>
        <w:tc>
          <w:tcPr>
            <w:tcW w:w="6662" w:type="dxa"/>
            <w:tcBorders/>
          </w:tcPr>
          <w:p>
            <w:pPr>
              <w:pStyle w:val="Normal"/>
              <w:snapToGrid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советник директора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главный инженер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начальник отдела транспорта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начальник контрактного отдела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ведущий специалист контрактного отдела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254" w:type="dxa"/>
            <w:tcBorders/>
          </w:tcPr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>Н.А. Сапрыкина</w:t>
            </w:r>
          </w:p>
        </w:tc>
        <w:tc>
          <w:tcPr>
            <w:tcW w:w="6662" w:type="dxa"/>
            <w:tcBorders/>
          </w:tcPr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заместитель начальника контрактного отдела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>На заседании комиссии отсутствовал член комиссии Н.П. Васильчик, ведущий специалист контрактного отдела. В состав комиссии входит 7 членов. Заседание проводится в присутствии 6 членов комиссии. Кворум имеется. Комиссия правомочна.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/>
      </w:pPr>
      <w:r>
        <w:rPr>
          <w:b/>
          <w:sz w:val="24"/>
          <w:szCs w:val="24"/>
        </w:rPr>
        <w:t xml:space="preserve">3. Место рассмотрения 2-х частей заявок на участие в конкурсе в электронной форме: </w:t>
      </w:r>
      <w:r>
        <w:rPr>
          <w:sz w:val="24"/>
          <w:szCs w:val="24"/>
        </w:rPr>
        <w:t>140150, Московская обл., р. п. Быково, ул. Пограничная, д. 32;</w:t>
      </w:r>
    </w:p>
    <w:p>
      <w:pPr>
        <w:pStyle w:val="Style29"/>
        <w:numPr>
          <w:ilvl w:val="0"/>
          <w:numId w:val="0"/>
        </w:numPr>
        <w:spacing w:before="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Дата составления протокола рассмотрения 2-х частей заявок на участие в конкурсе в электронной форме:</w:t>
      </w:r>
      <w:r>
        <w:rPr>
          <w:rFonts w:cs="Times New Roman" w:ascii="Times New Roman" w:hAnsi="Times New Roman"/>
          <w:sz w:val="24"/>
          <w:szCs w:val="24"/>
        </w:rPr>
        <w:t xml:space="preserve"> 03.03.2025</w:t>
      </w:r>
      <w:r>
        <w:rPr>
          <w:rFonts w:eastAsia="Calibri" w:cs="Times New Roman" w:ascii="Times New Roman" w:hAnsi="Times New Roman"/>
          <w:sz w:val="24"/>
          <w:szCs w:val="24"/>
          <w:lang w:eastAsia="en-US"/>
        </w:rPr>
        <w:t xml:space="preserve"> </w:t>
      </w:r>
    </w:p>
    <w:p>
      <w:pPr>
        <w:pStyle w:val="Normal"/>
        <w:jc w:val="both"/>
        <w:rPr>
          <w:sz w:val="24"/>
          <w:szCs w:val="24"/>
        </w:rPr>
      </w:pPr>
      <w:r>
        <w:rPr>
          <w:rFonts w:eastAsia="Calibri"/>
          <w:b/>
          <w:sz w:val="24"/>
          <w:szCs w:val="24"/>
          <w:lang w:eastAsia="en-US"/>
        </w:rPr>
        <w:t>4.</w:t>
      </w:r>
      <w:r>
        <w:rPr>
          <w:rFonts w:eastAsia="Calibri"/>
          <w:sz w:val="24"/>
          <w:szCs w:val="24"/>
          <w:lang w:eastAsia="en-US"/>
        </w:rPr>
        <w:t xml:space="preserve"> Номер извещения </w:t>
      </w:r>
      <w:r>
        <w:rPr>
          <w:sz w:val="24"/>
          <w:szCs w:val="24"/>
        </w:rPr>
        <w:t>32514499350</w:t>
      </w:r>
    </w:p>
    <w:p>
      <w:pPr>
        <w:pStyle w:val="Normal"/>
        <w:tabs>
          <w:tab w:val="clear" w:pos="708"/>
          <w:tab w:val="left" w:pos="426" w:leader="none"/>
          <w:tab w:val="left" w:pos="993" w:leader="none"/>
        </w:tabs>
        <w:jc w:val="both"/>
        <w:rPr/>
      </w:pPr>
      <w:r>
        <w:rPr>
          <w:sz w:val="24"/>
          <w:szCs w:val="24"/>
        </w:rPr>
        <w:t>Документация о проведении конкурса в электронной форме была размещена в единой информационной системе 11.02.2025.</w:t>
      </w:r>
    </w:p>
    <w:p>
      <w:pPr>
        <w:pStyle w:val="Normal"/>
        <w:numPr>
          <w:ilvl w:val="0"/>
          <w:numId w:val="0"/>
        </w:numPr>
        <w:outlineLvl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Существенные условия договора</w:t>
      </w:r>
    </w:p>
    <w:p>
      <w:pPr>
        <w:pStyle w:val="Style28"/>
        <w:jc w:val="both"/>
        <w:rPr>
          <w:rFonts w:ascii="Times New Roman" w:hAnsi="Times New Roman" w:cs="Times New Roman"/>
          <w:color w:val="000000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 xml:space="preserve">Наименование предмета конкурса в электронной форме: </w:t>
      </w:r>
      <w:r>
        <w:rPr>
          <w:rFonts w:cs="Times New Roman" w:ascii="Times New Roman" w:hAnsi="Times New Roman"/>
          <w:sz w:val="24"/>
          <w:szCs w:val="24"/>
        </w:rPr>
        <w:t>Оказание услуг по добровольному комплексному страхованию транспортных средств для нужд                          ФГБУ «ВНИИКР»</w:t>
      </w:r>
    </w:p>
    <w:p>
      <w:pPr>
        <w:pStyle w:val="Style2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 xml:space="preserve">Характеристики и количество </w:t>
      </w:r>
      <w:r>
        <w:rPr>
          <w:rFonts w:cs="Times New Roman" w:ascii="Times New Roman" w:hAnsi="Times New Roman"/>
          <w:b/>
          <w:bCs/>
          <w:sz w:val="24"/>
          <w:szCs w:val="24"/>
        </w:rPr>
        <w:t>оказываемых услуг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 xml:space="preserve">: </w:t>
      </w:r>
      <w:r>
        <w:rPr>
          <w:rFonts w:cs="Times New Roman" w:ascii="Times New Roman" w:hAnsi="Times New Roman"/>
          <w:color w:val="000000"/>
          <w:sz w:val="24"/>
          <w:szCs w:val="24"/>
        </w:rPr>
        <w:t>В соответствии с Техническим заданием Конкурсной документации (Раздел 8)</w:t>
      </w:r>
    </w:p>
    <w:p>
      <w:pPr>
        <w:pStyle w:val="Normal"/>
        <w:jc w:val="both"/>
        <w:rPr/>
      </w:pPr>
      <w:r>
        <w:rPr>
          <w:rFonts w:eastAsia="Calibri"/>
          <w:b/>
          <w:bCs/>
          <w:sz w:val="24"/>
          <w:szCs w:val="24"/>
          <w:lang w:eastAsia="en-US"/>
        </w:rPr>
        <w:t>Место оказания услуг: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В соответствии с Техническим заданием Конкурсной документации (Раздел 8)</w:t>
      </w:r>
    </w:p>
    <w:p>
      <w:pPr>
        <w:pStyle w:val="Normal"/>
        <w:jc w:val="both"/>
        <w:rPr/>
      </w:pPr>
      <w:r>
        <w:rPr>
          <w:rFonts w:eastAsia="Calibri"/>
          <w:b/>
          <w:bCs/>
          <w:sz w:val="24"/>
          <w:szCs w:val="24"/>
          <w:lang w:eastAsia="en-US"/>
        </w:rPr>
        <w:t>Срок оказания услуг:</w:t>
      </w:r>
      <w:r>
        <w:rPr>
          <w:color w:val="000000"/>
          <w:sz w:val="24"/>
          <w:szCs w:val="24"/>
        </w:rPr>
        <w:t xml:space="preserve"> В соответствии с Техническим заданием Конкурсной документации (Раздел 8)</w:t>
      </w:r>
    </w:p>
    <w:p>
      <w:pPr>
        <w:pStyle w:val="Normal"/>
        <w:jc w:val="both"/>
        <w:rPr>
          <w:sz w:val="24"/>
          <w:szCs w:val="24"/>
        </w:rPr>
      </w:pPr>
      <w:r>
        <w:rPr>
          <w:b/>
          <w:sz w:val="24"/>
          <w:szCs w:val="24"/>
        </w:rPr>
        <w:t>Сведения о включенных (не включенных) в цену услуг расходах</w:t>
      </w:r>
      <w:r>
        <w:rPr>
          <w:b/>
          <w:bCs/>
          <w:sz w:val="24"/>
          <w:szCs w:val="24"/>
        </w:rPr>
        <w:t xml:space="preserve">: </w:t>
      </w:r>
      <w:r>
        <w:rPr>
          <w:rFonts w:eastAsia="Calibri"/>
          <w:sz w:val="24"/>
          <w:szCs w:val="24"/>
        </w:rPr>
        <w:t>все расходы на оказание услуг по страхованию, расходы на перевозку, уплату таможенных сборов, налогов (в том числе, налог на добавленную стоимость (НДС) в случае, если в соответствии с законодательством о налогах и сборах участник размещения заказа признается плательщиком НДС и не использует право на освобождение от исполнения обязанностей налогоплательщика, связанные с исчислением и уплатой НДС, и предметом настоящего Договора не является операция, освобождаемая от налогообложения), сборов и других обязательных платежей</w:t>
      </w:r>
      <w:r>
        <w:rPr>
          <w:sz w:val="24"/>
          <w:szCs w:val="24"/>
        </w:rPr>
        <w:t>.</w:t>
      </w:r>
    </w:p>
    <w:p>
      <w:pPr>
        <w:pStyle w:val="Normal"/>
        <w:jc w:val="both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 xml:space="preserve">Начальная (максимальная) цена договора: </w:t>
      </w:r>
      <w:r>
        <w:rPr>
          <w:b/>
          <w:sz w:val="24"/>
          <w:szCs w:val="24"/>
          <w:shd w:fill="FFFFFF" w:val="clear"/>
        </w:rPr>
        <w:t>6 134 474,30</w:t>
      </w:r>
      <w:r>
        <w:rPr>
          <w:b/>
          <w:sz w:val="24"/>
          <w:szCs w:val="24"/>
        </w:rPr>
        <w:t xml:space="preserve"> (Шесть миллионов сто тридцать четыре тысячи четыреста семьдесят четыре) рубля 30 копеек</w:t>
      </w:r>
      <w:r>
        <w:rPr>
          <w:sz w:val="24"/>
          <w:szCs w:val="24"/>
        </w:rPr>
        <w:t>.</w:t>
      </w:r>
    </w:p>
    <w:p>
      <w:pPr>
        <w:pStyle w:val="Normal"/>
        <w:jc w:val="both"/>
        <w:rPr/>
      </w:pPr>
      <w:r>
        <w:rPr>
          <w:b/>
          <w:bCs/>
          <w:sz w:val="24"/>
          <w:szCs w:val="24"/>
        </w:rPr>
        <w:t xml:space="preserve">Источник финансирования: </w:t>
      </w:r>
      <w:r>
        <w:rPr>
          <w:bCs/>
          <w:sz w:val="24"/>
          <w:szCs w:val="24"/>
        </w:rPr>
        <w:t>вне</w:t>
      </w:r>
      <w:r>
        <w:rPr>
          <w:sz w:val="24"/>
          <w:szCs w:val="24"/>
        </w:rPr>
        <w:t>бюджетные средства.</w:t>
      </w:r>
    </w:p>
    <w:p>
      <w:pPr>
        <w:pStyle w:val="Normal"/>
        <w:numPr>
          <w:ilvl w:val="0"/>
          <w:numId w:val="0"/>
        </w:numPr>
        <w:jc w:val="both"/>
        <w:outlineLvl w:val="0"/>
        <w:rPr/>
      </w:pPr>
      <w:r>
        <w:rPr>
          <w:b/>
          <w:bCs/>
          <w:sz w:val="24"/>
          <w:szCs w:val="24"/>
        </w:rPr>
        <w:t xml:space="preserve">Срок и условия оплаты оказания услуг: </w:t>
      </w:r>
      <w:r>
        <w:rPr>
          <w:color w:val="000000"/>
          <w:sz w:val="24"/>
          <w:szCs w:val="24"/>
        </w:rPr>
        <w:t>Условия оплаты – безналичный расчет. Оплата производится в порядке и сроки, предусмотренные разделом 9 Документации (Проект Договора).</w:t>
      </w:r>
    </w:p>
    <w:p>
      <w:pPr>
        <w:pStyle w:val="Normal"/>
        <w:numPr>
          <w:ilvl w:val="0"/>
          <w:numId w:val="0"/>
        </w:numPr>
        <w:jc w:val="both"/>
        <w:outlineLvl w:val="0"/>
        <w:rPr/>
      </w:pPr>
      <w:r>
        <w:rPr>
          <w:b/>
          <w:sz w:val="24"/>
          <w:szCs w:val="24"/>
        </w:rPr>
        <w:t>6.</w:t>
      </w:r>
      <w:r>
        <w:rPr>
          <w:sz w:val="24"/>
          <w:szCs w:val="24"/>
        </w:rPr>
        <w:t xml:space="preserve"> До окончания, указанного в извещении о проведении конкурса в электронной форме срока подачи заявок, а именно 27.02.2025 10:00, </w:t>
      </w:r>
      <w:r>
        <w:rPr>
          <w:color w:val="000000"/>
          <w:sz w:val="24"/>
          <w:szCs w:val="24"/>
        </w:rPr>
        <w:t>поступило заяво</w:t>
      </w:r>
      <w:r>
        <w:rPr>
          <w:sz w:val="24"/>
          <w:szCs w:val="24"/>
        </w:rPr>
        <w:t xml:space="preserve">к </w:t>
      </w:r>
      <w:r>
        <w:rPr>
          <w:color w:val="000000"/>
          <w:sz w:val="24"/>
          <w:szCs w:val="24"/>
        </w:rPr>
        <w:t xml:space="preserve">– 6 (Шесть). </w:t>
      </w:r>
    </w:p>
    <w:p>
      <w:pPr>
        <w:pStyle w:val="BodyTextIndent"/>
        <w:numPr>
          <w:ilvl w:val="0"/>
          <w:numId w:val="0"/>
        </w:numPr>
        <w:ind w:hanging="0" w:start="0" w:end="0"/>
        <w:jc w:val="both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7.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Участники, подавшие заявки на участие в конкурсе в электронной форме:</w:t>
      </w:r>
    </w:p>
    <w:p>
      <w:pPr>
        <w:pStyle w:val="BodyTextIndent"/>
        <w:numPr>
          <w:ilvl w:val="0"/>
          <w:numId w:val="0"/>
        </w:numPr>
        <w:ind w:hanging="0" w:start="0" w:end="0"/>
        <w:jc w:val="both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W w:w="10915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8"/>
        <w:gridCol w:w="1418"/>
        <w:gridCol w:w="3402"/>
        <w:gridCol w:w="1417"/>
        <w:gridCol w:w="3260"/>
      </w:tblGrid>
      <w:tr>
        <w:trPr>
          <w:tblHeader w:val="true"/>
        </w:trPr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708"/>
                <w:tab w:val="left" w:pos="851" w:leader="none"/>
              </w:tabs>
              <w:ind w:start="0" w:end="0"/>
              <w:rPr>
                <w:rStyle w:val="Strong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Порядковый номер заявки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708"/>
                <w:tab w:val="left" w:pos="851" w:leader="none"/>
              </w:tabs>
              <w:ind w:start="0" w:end="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708"/>
                <w:tab w:val="left" w:pos="851" w:leader="none"/>
              </w:tabs>
              <w:ind w:start="0" w:end="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Наименование</w:t>
            </w:r>
          </w:p>
          <w:p>
            <w:pPr>
              <w:pStyle w:val="BodyTextIndent"/>
              <w:tabs>
                <w:tab w:val="clear" w:pos="708"/>
                <w:tab w:val="left" w:pos="851" w:leader="none"/>
              </w:tabs>
              <w:ind w:start="0" w:end="0"/>
              <w:rPr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участника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Решение о допуске/</w:t>
            </w:r>
          </w:p>
          <w:p>
            <w:pPr>
              <w:pStyle w:val="Normal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отклонении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tabs>
                <w:tab w:val="clear" w:pos="708"/>
                <w:tab w:val="left" w:pos="851" w:leader="none"/>
              </w:tabs>
              <w:spacing w:lineRule="atLeast" w:line="240"/>
              <w:ind w:start="0" w:end="0"/>
              <w:rPr/>
            </w:pPr>
            <w:r>
              <w:rPr>
                <w:rStyle w:val="Strong"/>
                <w:b w:val="false"/>
                <w:i/>
              </w:rPr>
              <w:t>Обоснование причин отклонения</w:t>
            </w:r>
          </w:p>
          <w:p>
            <w:pPr>
              <w:pStyle w:val="BodyTextIndent"/>
              <w:tabs>
                <w:tab w:val="clear" w:pos="708"/>
                <w:tab w:val="left" w:pos="851" w:leader="none"/>
              </w:tabs>
              <w:ind w:start="0" w:end="0"/>
              <w:rPr>
                <w:b/>
                <w:i/>
                <w:i/>
                <w:color w:val="000000"/>
                <w:sz w:val="22"/>
                <w:szCs w:val="22"/>
              </w:rPr>
            </w:pPr>
            <w:r>
              <w:rPr>
                <w:rStyle w:val="Strong"/>
                <w:b w:val="false"/>
                <w:i/>
              </w:rPr>
              <w:t>(указать положения извещения о проведении открытого конкурса, которым не соответствуют заявки на участие в открытом конкурсе этих участников, предложений, содержащихся в заявках на участие в открытом конкурсе, не соответствующих требованиям извещения о проведении открытого конкурса, нарушений федеральных законов и иных нормативных правовых актов, послуживших основанием для отклонения заявок на участие в открытом конкурсе)</w:t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279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24.02.2025 17:03:00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/>
              <w:jc w:val="center"/>
              <w:rPr>
                <w:bCs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shd w:fill="FFFFFF" w:val="clear"/>
              </w:rPr>
              <w:t>АКЦИОНЕРНОЕ ОБЩЕСТВО "АЛЬФАСТРАХОВАНИЕ"</w:t>
            </w:r>
          </w:p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/>
              <w:jc w:val="center"/>
              <w:rPr>
                <w:bCs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shd w:fill="FFFFFF" w:val="clear"/>
              </w:rPr>
              <w:t xml:space="preserve">ИНН/КПП </w:t>
            </w:r>
            <w:r>
              <w:rPr>
                <w:color w:val="333333"/>
                <w:sz w:val="24"/>
                <w:szCs w:val="24"/>
              </w:rPr>
              <w:t>7713056834/</w:t>
            </w:r>
            <w:r>
              <w:rPr>
                <w:color w:val="333333"/>
                <w:sz w:val="24"/>
                <w:szCs w:val="24"/>
                <w:shd w:fill="FFFFFF" w:val="clear"/>
              </w:rPr>
              <w:t>772501001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Допущен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>
        <w:trPr>
          <w:trHeight w:val="573" w:hRule="atLeast"/>
        </w:trPr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1633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25.02.2025 11:48:25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/>
              <w:jc w:val="center"/>
              <w:rPr>
                <w:bCs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shd w:fill="FFFFFF" w:val="clear"/>
              </w:rPr>
              <w:t>СТРАХОВОЕ ПУБЛИЧНОЕ АКЦИОНЕРНОЕ ОБЩЕСТВО "ИНГОССТРАХ"</w:t>
            </w:r>
          </w:p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ИНН/КПП</w:t>
            </w:r>
            <w:r>
              <w:rPr>
                <w:color w:val="333333"/>
                <w:sz w:val="24"/>
                <w:szCs w:val="24"/>
                <w:shd w:fill="FFFFFF" w:val="clear"/>
              </w:rPr>
              <w:t xml:space="preserve"> 7705042179/770501001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Допущен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>
        <w:trPr>
          <w:trHeight w:val="573" w:hRule="atLeast"/>
        </w:trPr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2336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26.02.2025 13:52:43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/>
              <w:jc w:val="center"/>
              <w:rPr>
                <w:bCs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shd w:fill="FFFFFF" w:val="clear"/>
              </w:rPr>
              <w:t>СТРАХОВОЕ АКЦИОНЕРНОЕ ОБЩЕСТВО "ВСК"</w:t>
            </w:r>
          </w:p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ИНН/КПП </w:t>
            </w:r>
            <w:r>
              <w:rPr>
                <w:color w:val="333333"/>
                <w:sz w:val="24"/>
                <w:szCs w:val="24"/>
                <w:shd w:fill="FFFFFF" w:val="clear"/>
              </w:rPr>
              <w:t>7710026574</w:t>
            </w:r>
            <w:r>
              <w:rPr>
                <w:bCs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  <w:shd w:fill="FFFFFF" w:val="clear"/>
              </w:rPr>
              <w:t>773101001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Допущен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>
        <w:trPr>
          <w:trHeight w:val="573" w:hRule="atLeast"/>
        </w:trPr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2617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26.02.2025 17:12:58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/>
              <w:jc w:val="center"/>
              <w:rPr>
                <w:bCs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shd w:fill="FFFFFF" w:val="clear"/>
              </w:rPr>
              <w:t>СТРАХОВОЕ АКЦИОНЕРНОЕ ОБЩЕСТВО "РЕСО-ГАРАНТИЯ"</w:t>
            </w:r>
          </w:p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ИНН/КПП </w:t>
            </w:r>
            <w:r>
              <w:rPr>
                <w:color w:val="333333"/>
                <w:sz w:val="24"/>
                <w:szCs w:val="24"/>
                <w:shd w:fill="FFFFFF" w:val="clear"/>
              </w:rPr>
              <w:t>7710045520</w:t>
            </w:r>
            <w:r>
              <w:rPr>
                <w:bCs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  <w:shd w:fill="FFFFFF" w:val="clear"/>
              </w:rPr>
              <w:t>772601001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Допущен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>
        <w:trPr>
          <w:trHeight w:val="573" w:hRule="atLeast"/>
        </w:trPr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3812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26.02.2025 17:40:25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АКЦИОНЕРНОЕ ОБЩЕСТВО "СТРАХОВОЕ ОБЩЕСТВО ГАЗОВОЙ ПРОМЫШЛЕННОСТИ"</w:t>
            </w:r>
          </w:p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ИНН/КПП </w:t>
            </w:r>
            <w:r>
              <w:rPr>
                <w:color w:val="333333"/>
                <w:sz w:val="24"/>
                <w:szCs w:val="24"/>
                <w:shd w:fill="FFFFFF" w:val="clear"/>
              </w:rPr>
              <w:t>7736035485/770801001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Допущен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>
        <w:trPr>
          <w:trHeight w:val="573" w:hRule="atLeast"/>
        </w:trPr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2075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26.02.2025 18:59:54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/>
              <w:jc w:val="center"/>
              <w:rPr>
                <w:bCs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shd w:fill="FFFFFF" w:val="clear"/>
              </w:rPr>
              <w:t>ПУБЛИЧНОЕ АКЦИОНЕРНОЕ ОБЩЕСТВО "ГРУППА РЕНЕССАНС СТРАХОВАНИЕ"</w:t>
            </w:r>
          </w:p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ИНН/КПП </w:t>
            </w:r>
            <w:r>
              <w:rPr>
                <w:color w:val="333333"/>
                <w:sz w:val="24"/>
                <w:szCs w:val="24"/>
                <w:shd w:fill="FFFFFF" w:val="clear"/>
              </w:rPr>
              <w:t>7725497022</w:t>
            </w:r>
            <w:r>
              <w:rPr>
                <w:bCs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  <w:shd w:fill="FFFFFF" w:val="clear"/>
              </w:rPr>
              <w:t>773101001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Допущен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</w:tbl>
    <w:p>
      <w:pPr>
        <w:pStyle w:val="Normal"/>
        <w:spacing w:lineRule="atLeast" w:line="240" w:before="0" w:after="1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tLeast" w:line="240" w:before="0" w:after="1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8. Решение каждого члена комиссии в отношении участников конкурса в электронной форме </w:t>
      </w:r>
      <w:r>
        <w:rPr>
          <w:b/>
          <w:sz w:val="24"/>
          <w:szCs w:val="24"/>
          <w:u w:val="single"/>
        </w:rPr>
        <w:t>о допуске</w:t>
      </w:r>
      <w:r>
        <w:rPr>
          <w:b/>
          <w:sz w:val="24"/>
          <w:szCs w:val="24"/>
        </w:rPr>
        <w:t xml:space="preserve"> заявок к участию в конкурсе в электронной форме:</w:t>
      </w:r>
    </w:p>
    <w:p>
      <w:pPr>
        <w:pStyle w:val="Normal"/>
        <w:spacing w:lineRule="atLeast" w:line="240" w:before="0" w:after="1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W w:w="716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14"/>
        <w:gridCol w:w="4247"/>
      </w:tblGrid>
      <w:tr>
        <w:trPr/>
        <w:tc>
          <w:tcPr>
            <w:tcW w:w="2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Порядковый номер заявки</w:t>
            </w:r>
          </w:p>
        </w:tc>
        <w:tc>
          <w:tcPr>
            <w:tcW w:w="4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За принятие </w:t>
              <w:br/>
              <w:t>решения</w:t>
            </w:r>
          </w:p>
        </w:tc>
      </w:tr>
      <w:tr>
        <w:trPr>
          <w:trHeight w:val="699" w:hRule="atLeast"/>
        </w:trPr>
        <w:tc>
          <w:tcPr>
            <w:tcW w:w="2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279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1633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2336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2617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3812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2075</w:t>
            </w:r>
          </w:p>
        </w:tc>
        <w:tc>
          <w:tcPr>
            <w:tcW w:w="4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Л.В. Чигирина</w:t>
            </w:r>
          </w:p>
          <w:p>
            <w:pPr>
              <w:pStyle w:val="Normal"/>
              <w:spacing w:lineRule="auto" w:line="27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О.И. Баранова</w:t>
            </w:r>
          </w:p>
          <w:p>
            <w:pPr>
              <w:pStyle w:val="Normal"/>
              <w:spacing w:lineRule="auto" w:line="27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А.Н. Овсянников</w:t>
            </w:r>
          </w:p>
          <w:p>
            <w:pPr>
              <w:pStyle w:val="Normal"/>
              <w:spacing w:lineRule="auto" w:line="27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П.В. Логунков</w:t>
            </w:r>
          </w:p>
          <w:p>
            <w:pPr>
              <w:pStyle w:val="Normal"/>
              <w:spacing w:lineRule="auto" w:line="27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Н.Г. Ващенко</w:t>
            </w:r>
          </w:p>
        </w:tc>
      </w:tr>
    </w:tbl>
    <w:p>
      <w:pPr>
        <w:pStyle w:val="Normal"/>
        <w:ind w:hanging="142" w:end="16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Indent"/>
        <w:numPr>
          <w:ilvl w:val="0"/>
          <w:numId w:val="0"/>
        </w:numPr>
        <w:ind w:hanging="0" w:start="0" w:end="0"/>
        <w:jc w:val="both"/>
        <w:outlineLvl w:val="0"/>
        <w:rPr>
          <w:rFonts w:cs="Arial"/>
          <w:b/>
          <w:bCs/>
          <w:kern w:val="2"/>
          <w:sz w:val="24"/>
          <w:szCs w:val="24"/>
        </w:rPr>
      </w:pPr>
      <w:r>
        <w:rPr>
          <w:rFonts w:cs="Arial"/>
          <w:b/>
          <w:bCs/>
          <w:kern w:val="2"/>
          <w:sz w:val="24"/>
          <w:szCs w:val="24"/>
        </w:rPr>
      </w:r>
    </w:p>
    <w:p>
      <w:pPr>
        <w:pStyle w:val="BodyTextIndent"/>
        <w:numPr>
          <w:ilvl w:val="0"/>
          <w:numId w:val="0"/>
        </w:numPr>
        <w:ind w:hanging="0" w:start="0" w:end="0"/>
        <w:jc w:val="both"/>
        <w:outlineLvl w:val="0"/>
        <w:rPr>
          <w:rFonts w:cs="Arial"/>
          <w:b/>
          <w:bCs/>
          <w:kern w:val="2"/>
          <w:sz w:val="24"/>
          <w:szCs w:val="24"/>
        </w:rPr>
      </w:pPr>
      <w:r>
        <w:rPr>
          <w:rFonts w:cs="Arial"/>
          <w:b/>
          <w:bCs/>
          <w:kern w:val="2"/>
          <w:sz w:val="24"/>
          <w:szCs w:val="24"/>
        </w:rPr>
      </w:r>
    </w:p>
    <w:p>
      <w:pPr>
        <w:pStyle w:val="BodyTextIndent"/>
        <w:numPr>
          <w:ilvl w:val="0"/>
          <w:numId w:val="0"/>
        </w:numPr>
        <w:ind w:hanging="0" w:start="0" w:end="0"/>
        <w:jc w:val="both"/>
        <w:outlineLvl w:val="0"/>
        <w:rPr>
          <w:rFonts w:cs="Arial"/>
          <w:b/>
          <w:bCs/>
          <w:kern w:val="2"/>
          <w:sz w:val="24"/>
          <w:szCs w:val="24"/>
        </w:rPr>
      </w:pPr>
      <w:r>
        <w:rPr>
          <w:rFonts w:cs="Arial"/>
          <w:b/>
          <w:bCs/>
          <w:kern w:val="2"/>
          <w:sz w:val="24"/>
          <w:szCs w:val="24"/>
        </w:rPr>
      </w:r>
    </w:p>
    <w:p>
      <w:pPr>
        <w:pStyle w:val="BodyTextIndent"/>
        <w:numPr>
          <w:ilvl w:val="0"/>
          <w:numId w:val="0"/>
        </w:numPr>
        <w:ind w:hanging="0" w:start="0" w:end="0"/>
        <w:jc w:val="both"/>
        <w:outlineLvl w:val="0"/>
        <w:rPr>
          <w:rFonts w:cs="Arial"/>
          <w:b/>
          <w:bCs/>
          <w:kern w:val="2"/>
          <w:sz w:val="24"/>
          <w:szCs w:val="24"/>
        </w:rPr>
      </w:pPr>
      <w:r>
        <w:rPr>
          <w:rFonts w:cs="Arial"/>
          <w:b/>
          <w:bCs/>
          <w:kern w:val="2"/>
          <w:sz w:val="24"/>
          <w:szCs w:val="24"/>
        </w:rPr>
      </w:r>
    </w:p>
    <w:p>
      <w:pPr>
        <w:pStyle w:val="BodyTextIndent"/>
        <w:numPr>
          <w:ilvl w:val="0"/>
          <w:numId w:val="0"/>
        </w:numPr>
        <w:ind w:hanging="0" w:start="0" w:end="0"/>
        <w:jc w:val="both"/>
        <w:outlineLvl w:val="0"/>
        <w:rPr>
          <w:rFonts w:cs="Arial"/>
          <w:b/>
          <w:bCs/>
          <w:kern w:val="2"/>
          <w:sz w:val="24"/>
          <w:szCs w:val="24"/>
        </w:rPr>
      </w:pPr>
      <w:r>
        <w:rPr>
          <w:rFonts w:cs="Arial"/>
          <w:b/>
          <w:bCs/>
          <w:kern w:val="2"/>
          <w:sz w:val="24"/>
          <w:szCs w:val="24"/>
        </w:rPr>
      </w:r>
    </w:p>
    <w:p>
      <w:pPr>
        <w:pStyle w:val="BodyTextIndent"/>
        <w:numPr>
          <w:ilvl w:val="0"/>
          <w:numId w:val="0"/>
        </w:numPr>
        <w:ind w:hanging="0" w:start="0" w:end="0"/>
        <w:jc w:val="both"/>
        <w:outlineLvl w:val="0"/>
        <w:rPr>
          <w:rFonts w:cs="Arial"/>
          <w:b/>
          <w:bCs/>
          <w:kern w:val="2"/>
          <w:sz w:val="24"/>
          <w:szCs w:val="24"/>
        </w:rPr>
      </w:pPr>
      <w:r>
        <w:rPr>
          <w:rFonts w:cs="Arial"/>
          <w:b/>
          <w:bCs/>
          <w:kern w:val="2"/>
          <w:sz w:val="24"/>
          <w:szCs w:val="24"/>
        </w:rPr>
      </w:r>
    </w:p>
    <w:p>
      <w:pPr>
        <w:pStyle w:val="BodyTextIndent"/>
        <w:numPr>
          <w:ilvl w:val="0"/>
          <w:numId w:val="0"/>
        </w:numPr>
        <w:ind w:hanging="0" w:start="0" w:end="0"/>
        <w:jc w:val="both"/>
        <w:outlineLvl w:val="0"/>
        <w:rPr>
          <w:rFonts w:cs="Arial"/>
          <w:b/>
          <w:bCs/>
          <w:kern w:val="2"/>
          <w:sz w:val="24"/>
          <w:szCs w:val="24"/>
        </w:rPr>
      </w:pPr>
      <w:r>
        <w:rPr>
          <w:rFonts w:cs="Arial"/>
          <w:b/>
          <w:bCs/>
          <w:kern w:val="2"/>
          <w:sz w:val="24"/>
          <w:szCs w:val="24"/>
        </w:rPr>
      </w:r>
    </w:p>
    <w:p>
      <w:pPr>
        <w:pStyle w:val="BodyTextIndent"/>
        <w:numPr>
          <w:ilvl w:val="0"/>
          <w:numId w:val="0"/>
        </w:numPr>
        <w:ind w:hanging="0" w:start="0" w:end="0"/>
        <w:jc w:val="both"/>
        <w:outlineLvl w:val="0"/>
        <w:rPr>
          <w:rFonts w:cs="Arial"/>
          <w:b/>
          <w:bCs/>
          <w:kern w:val="2"/>
          <w:sz w:val="24"/>
          <w:szCs w:val="24"/>
        </w:rPr>
      </w:pPr>
      <w:r>
        <w:rPr>
          <w:rFonts w:cs="Arial"/>
          <w:b/>
          <w:bCs/>
          <w:kern w:val="2"/>
          <w:sz w:val="24"/>
          <w:szCs w:val="24"/>
        </w:rPr>
      </w:r>
    </w:p>
    <w:p>
      <w:pPr>
        <w:pStyle w:val="BodyTextIndent"/>
        <w:numPr>
          <w:ilvl w:val="0"/>
          <w:numId w:val="0"/>
        </w:numPr>
        <w:ind w:hanging="0" w:start="0" w:end="0"/>
        <w:jc w:val="both"/>
        <w:outlineLvl w:val="0"/>
        <w:rPr>
          <w:rFonts w:cs="Arial"/>
          <w:b/>
          <w:bCs/>
          <w:kern w:val="2"/>
          <w:sz w:val="24"/>
          <w:szCs w:val="24"/>
        </w:rPr>
      </w:pPr>
      <w:r>
        <w:rPr>
          <w:rFonts w:cs="Arial"/>
          <w:b/>
          <w:bCs/>
          <w:kern w:val="2"/>
          <w:sz w:val="24"/>
          <w:szCs w:val="24"/>
        </w:rPr>
      </w:r>
    </w:p>
    <w:p>
      <w:pPr>
        <w:pStyle w:val="BodyTextIndent"/>
        <w:numPr>
          <w:ilvl w:val="0"/>
          <w:numId w:val="0"/>
        </w:numPr>
        <w:ind w:hanging="0" w:start="0" w:end="0"/>
        <w:jc w:val="both"/>
        <w:outlineLvl w:val="0"/>
        <w:rPr>
          <w:rFonts w:cs="Arial"/>
          <w:b/>
          <w:bCs/>
          <w:kern w:val="2"/>
          <w:sz w:val="24"/>
          <w:szCs w:val="24"/>
        </w:rPr>
      </w:pPr>
      <w:r>
        <w:rPr>
          <w:rFonts w:cs="Arial"/>
          <w:b/>
          <w:bCs/>
          <w:kern w:val="2"/>
          <w:sz w:val="24"/>
          <w:szCs w:val="24"/>
        </w:rPr>
      </w:r>
    </w:p>
    <w:p>
      <w:pPr>
        <w:pStyle w:val="BodyTextIndent"/>
        <w:numPr>
          <w:ilvl w:val="0"/>
          <w:numId w:val="0"/>
        </w:numPr>
        <w:ind w:hanging="0" w:start="0" w:end="0"/>
        <w:jc w:val="both"/>
        <w:outlineLvl w:val="0"/>
        <w:rPr>
          <w:rFonts w:cs="Arial"/>
          <w:b/>
          <w:bCs/>
          <w:kern w:val="2"/>
          <w:sz w:val="24"/>
          <w:szCs w:val="24"/>
        </w:rPr>
      </w:pPr>
      <w:r>
        <w:rPr>
          <w:rFonts w:cs="Arial"/>
          <w:b/>
          <w:bCs/>
          <w:kern w:val="2"/>
          <w:sz w:val="24"/>
          <w:szCs w:val="24"/>
        </w:rPr>
      </w:r>
    </w:p>
    <w:p>
      <w:pPr>
        <w:pStyle w:val="BodyTextIndent"/>
        <w:numPr>
          <w:ilvl w:val="0"/>
          <w:numId w:val="0"/>
        </w:numPr>
        <w:ind w:hanging="0" w:start="0" w:end="0"/>
        <w:jc w:val="both"/>
        <w:outlineLvl w:val="0"/>
        <w:rPr>
          <w:rFonts w:cs="Arial"/>
          <w:b/>
          <w:bCs/>
          <w:kern w:val="2"/>
          <w:sz w:val="24"/>
          <w:szCs w:val="24"/>
        </w:rPr>
      </w:pPr>
      <w:r>
        <w:rPr>
          <w:rFonts w:cs="Arial"/>
          <w:b/>
          <w:bCs/>
          <w:kern w:val="2"/>
          <w:sz w:val="24"/>
          <w:szCs w:val="24"/>
        </w:rPr>
      </w:r>
    </w:p>
    <w:p>
      <w:pPr>
        <w:pStyle w:val="BodyTextIndent"/>
        <w:numPr>
          <w:ilvl w:val="0"/>
          <w:numId w:val="0"/>
        </w:numPr>
        <w:ind w:hanging="0" w:start="0" w:end="0"/>
        <w:jc w:val="both"/>
        <w:outlineLvl w:val="0"/>
        <w:rPr>
          <w:rFonts w:cs="Arial"/>
          <w:b/>
          <w:bCs/>
          <w:kern w:val="2"/>
          <w:sz w:val="24"/>
          <w:szCs w:val="24"/>
        </w:rPr>
      </w:pPr>
      <w:r>
        <w:rPr>
          <w:rFonts w:cs="Arial"/>
          <w:b/>
          <w:bCs/>
          <w:kern w:val="2"/>
          <w:sz w:val="24"/>
          <w:szCs w:val="24"/>
        </w:rPr>
      </w:r>
    </w:p>
    <w:p>
      <w:pPr>
        <w:pStyle w:val="BodyTextIndent"/>
        <w:numPr>
          <w:ilvl w:val="0"/>
          <w:numId w:val="0"/>
        </w:numPr>
        <w:ind w:hanging="0" w:start="0" w:end="0"/>
        <w:jc w:val="both"/>
        <w:outlineLvl w:val="0"/>
        <w:rPr>
          <w:rFonts w:cs="Arial"/>
          <w:b/>
          <w:bCs/>
          <w:kern w:val="2"/>
          <w:sz w:val="24"/>
          <w:szCs w:val="24"/>
        </w:rPr>
      </w:pPr>
      <w:r>
        <w:rPr>
          <w:rFonts w:cs="Arial"/>
          <w:b/>
          <w:bCs/>
          <w:kern w:val="2"/>
          <w:sz w:val="24"/>
          <w:szCs w:val="24"/>
        </w:rPr>
      </w:r>
    </w:p>
    <w:p>
      <w:pPr>
        <w:pStyle w:val="BodyTextIndent"/>
        <w:numPr>
          <w:ilvl w:val="0"/>
          <w:numId w:val="0"/>
        </w:numPr>
        <w:ind w:hanging="0" w:start="0" w:end="0"/>
        <w:jc w:val="both"/>
        <w:outlineLvl w:val="0"/>
        <w:rPr>
          <w:sz w:val="24"/>
          <w:szCs w:val="24"/>
        </w:rPr>
      </w:pPr>
      <w:r>
        <w:rPr>
          <w:rFonts w:cs="Arial"/>
          <w:b/>
          <w:bCs/>
          <w:kern w:val="2"/>
          <w:sz w:val="24"/>
          <w:szCs w:val="24"/>
        </w:rPr>
        <w:t xml:space="preserve">9. </w:t>
      </w:r>
      <w:r>
        <w:rPr>
          <w:sz w:val="24"/>
          <w:szCs w:val="24"/>
        </w:rPr>
        <w:t>Комиссия подведет итоги по конкурсу в электронной форме №02/2025, указные в документации о проведении конкурса в электронной форме №02/2025.</w:t>
      </w:r>
    </w:p>
    <w:p>
      <w:pPr>
        <w:pStyle w:val="BodyTextIndent"/>
        <w:numPr>
          <w:ilvl w:val="0"/>
          <w:numId w:val="0"/>
        </w:numPr>
        <w:ind w:hanging="0" w:start="0" w:end="0"/>
        <w:jc w:val="both"/>
        <w:outlineLvl w:val="0"/>
        <w:rPr>
          <w:iCs/>
          <w:color w:val="0000FF"/>
          <w:sz w:val="24"/>
          <w:szCs w:val="24"/>
          <w:u w:val="single"/>
        </w:rPr>
      </w:pPr>
      <w:r>
        <w:rPr>
          <w:kern w:val="2"/>
          <w:sz w:val="24"/>
          <w:szCs w:val="24"/>
        </w:rPr>
        <w:t xml:space="preserve">Настоящий протокол подлежит размещению на универсальной торговой платформе                     АО «Сбербанк-АСТ» </w:t>
      </w:r>
      <w:hyperlink r:id="rId3">
        <w:r>
          <w:rPr>
            <w:rStyle w:val="Hyperlink"/>
            <w:iCs/>
            <w:sz w:val="24"/>
            <w:szCs w:val="24"/>
          </w:rPr>
          <w:t>http://utp.sberbank-ast.ru/</w:t>
        </w:r>
      </w:hyperlink>
    </w:p>
    <w:p>
      <w:pPr>
        <w:pStyle w:val="BodyTextIndent"/>
        <w:numPr>
          <w:ilvl w:val="0"/>
          <w:numId w:val="0"/>
        </w:numPr>
        <w:ind w:hanging="0" w:start="0" w:end="0"/>
        <w:jc w:val="both"/>
        <w:outlineLvl w:val="0"/>
        <w:rPr>
          <w:iCs/>
          <w:color w:val="0000FF"/>
          <w:sz w:val="24"/>
          <w:szCs w:val="24"/>
          <w:u w:val="single"/>
        </w:rPr>
      </w:pPr>
      <w:r>
        <w:rPr>
          <w:iCs/>
          <w:color w:val="0000FF"/>
          <w:sz w:val="24"/>
          <w:szCs w:val="24"/>
          <w:u w:val="single"/>
        </w:rPr>
      </w:r>
    </w:p>
    <w:p>
      <w:pPr>
        <w:pStyle w:val="BodyTextIndent"/>
        <w:numPr>
          <w:ilvl w:val="0"/>
          <w:numId w:val="0"/>
        </w:numPr>
        <w:ind w:hanging="0" w:start="0" w:end="0"/>
        <w:jc w:val="both"/>
        <w:outlineLvl w:val="0"/>
        <w:rPr/>
      </w:pPr>
      <w:r>
        <w:rPr>
          <w:rFonts w:cs="Arial"/>
          <w:b/>
          <w:bCs/>
          <w:kern w:val="2"/>
          <w:sz w:val="24"/>
          <w:szCs w:val="24"/>
        </w:rPr>
        <w:t>10</w:t>
      </w:r>
      <w:r>
        <w:rPr>
          <w:rFonts w:cs="Arial"/>
          <w:b/>
          <w:bCs/>
          <w:kern w:val="2"/>
          <w:sz w:val="24"/>
          <w:szCs w:val="24"/>
        </w:rPr>
        <w:t>.</w:t>
      </w:r>
      <w:r>
        <w:rPr/>
        <w:t xml:space="preserve"> Подписи:</w:t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55"/>
        <w:gridCol w:w="5073"/>
      </w:tblGrid>
      <w:tr>
        <w:trPr/>
        <w:tc>
          <w:tcPr>
            <w:tcW w:w="4755" w:type="dxa"/>
            <w:tcBorders/>
          </w:tcPr>
          <w:p>
            <w:pPr>
              <w:pStyle w:val="Style28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Председатель комиссии:</w:t>
            </w:r>
          </w:p>
        </w:tc>
        <w:tc>
          <w:tcPr>
            <w:tcW w:w="5073" w:type="dxa"/>
            <w:tcBorders/>
          </w:tcPr>
          <w:p>
            <w:pPr>
              <w:pStyle w:val="Style28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28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</w:rPr>
              <w:t>_________________   Л.В. Чигирина</w:t>
            </w:r>
          </w:p>
          <w:p>
            <w:pPr>
              <w:pStyle w:val="Style28"/>
              <w:rPr>
                <w:rFonts w:ascii="Times New Roman" w:hAnsi="Times New Roman" w:cs="Times New Roman"/>
                <w:i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 xml:space="preserve">              </w:t>
            </w: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>(Подпись)             (Фамилия, Имя, Отчество)</w:t>
            </w:r>
          </w:p>
          <w:p>
            <w:pPr>
              <w:pStyle w:val="Style28"/>
              <w:rPr>
                <w:rFonts w:ascii="Times New Roman" w:hAnsi="Times New Roman" w:cs="Times New Roman"/>
                <w:i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</w:r>
          </w:p>
        </w:tc>
      </w:tr>
      <w:tr>
        <w:trPr/>
        <w:tc>
          <w:tcPr>
            <w:tcW w:w="4755" w:type="dxa"/>
            <w:tcBorders/>
          </w:tcPr>
          <w:p>
            <w:pPr>
              <w:pStyle w:val="Style28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Члены комиссии:</w:t>
            </w:r>
          </w:p>
        </w:tc>
        <w:tc>
          <w:tcPr>
            <w:tcW w:w="5073" w:type="dxa"/>
            <w:tcBorders/>
          </w:tcPr>
          <w:p>
            <w:pPr>
              <w:pStyle w:val="Style28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   О.И. Баранова</w:t>
            </w:r>
          </w:p>
          <w:p>
            <w:pPr>
              <w:pStyle w:val="Style28"/>
              <w:rPr>
                <w:rFonts w:ascii="Times New Roman" w:hAnsi="Times New Roman" w:cs="Times New Roman"/>
                <w:i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 xml:space="preserve">              </w:t>
            </w: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>(Подпись)               (Фамилия, Имя, Отчество)</w:t>
            </w:r>
          </w:p>
          <w:p>
            <w:pPr>
              <w:pStyle w:val="Style28"/>
              <w:rPr>
                <w:rFonts w:ascii="Times New Roman" w:hAnsi="Times New Roman" w:cs="Times New Roman"/>
                <w:i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</w:r>
          </w:p>
          <w:p>
            <w:pPr>
              <w:pStyle w:val="Style28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   А.Н. Овсянников</w:t>
            </w:r>
          </w:p>
          <w:p>
            <w:pPr>
              <w:pStyle w:val="Style28"/>
              <w:rPr>
                <w:rFonts w:ascii="Times New Roman" w:hAnsi="Times New Roman" w:cs="Times New Roman"/>
                <w:i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 xml:space="preserve">              </w:t>
            </w: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>(Подпись)             (Фамилия, Имя, Отчество)</w:t>
            </w:r>
          </w:p>
          <w:p>
            <w:pPr>
              <w:pStyle w:val="Style28"/>
              <w:rPr>
                <w:rFonts w:ascii="Times New Roman" w:hAnsi="Times New Roman" w:cs="Times New Roman"/>
                <w:i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</w:r>
          </w:p>
          <w:p>
            <w:pPr>
              <w:pStyle w:val="Style28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   П.В. Логунков</w:t>
            </w:r>
          </w:p>
          <w:p>
            <w:pPr>
              <w:pStyle w:val="Style28"/>
              <w:rPr>
                <w:rFonts w:ascii="Times New Roman" w:hAnsi="Times New Roman" w:cs="Times New Roman"/>
                <w:i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 xml:space="preserve">              </w:t>
            </w: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>(Подпись)             (Фамилия, Имя, Отчество)</w:t>
            </w:r>
          </w:p>
          <w:p>
            <w:pPr>
              <w:pStyle w:val="Style28"/>
              <w:rPr>
                <w:rFonts w:ascii="Times New Roman" w:hAnsi="Times New Roman" w:cs="Times New Roman"/>
                <w:i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</w:r>
          </w:p>
          <w:p>
            <w:pPr>
              <w:pStyle w:val="Style28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   Н.Г. Ващенко</w:t>
            </w:r>
          </w:p>
          <w:p>
            <w:pPr>
              <w:pStyle w:val="Style28"/>
              <w:rPr>
                <w:rFonts w:ascii="Times New Roman" w:hAnsi="Times New Roman" w:cs="Times New Roman"/>
                <w:i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 xml:space="preserve">              </w:t>
            </w: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>(Подпись)             (Фамилия, Имя, Отчество)</w:t>
            </w:r>
          </w:p>
          <w:p>
            <w:pPr>
              <w:pStyle w:val="Style28"/>
              <w:rPr>
                <w:rFonts w:ascii="Times New Roman" w:hAnsi="Times New Roman" w:cs="Times New Roman"/>
                <w:i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</w:r>
          </w:p>
        </w:tc>
      </w:tr>
      <w:tr>
        <w:trPr>
          <w:trHeight w:val="524" w:hRule="atLeast"/>
        </w:trPr>
        <w:tc>
          <w:tcPr>
            <w:tcW w:w="4755" w:type="dxa"/>
            <w:tcBorders/>
          </w:tcPr>
          <w:p>
            <w:pPr>
              <w:pStyle w:val="Style28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Секретарь комиссии:</w:t>
            </w:r>
          </w:p>
        </w:tc>
        <w:tc>
          <w:tcPr>
            <w:tcW w:w="5073" w:type="dxa"/>
            <w:tcBorders/>
          </w:tcPr>
          <w:p>
            <w:pPr>
              <w:pStyle w:val="Style28"/>
              <w:rPr>
                <w:rFonts w:ascii="Times New Roman" w:hAnsi="Times New Roman" w:cs="Times New Roman"/>
                <w:i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</w:rPr>
              <w:t>_________________   Н.А. Сапрыкина</w:t>
            </w:r>
          </w:p>
          <w:p>
            <w:pPr>
              <w:pStyle w:val="Style28"/>
              <w:rPr/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 xml:space="preserve">                </w:t>
            </w: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>(Подпись)                   (Фамилия, Имя, Отчество)</w:t>
            </w:r>
          </w:p>
        </w:tc>
      </w:tr>
    </w:tbl>
    <w:p>
      <w:pPr>
        <w:pStyle w:val="Style28"/>
        <w:tabs>
          <w:tab w:val="clear" w:pos="708"/>
          <w:tab w:val="center" w:pos="4961" w:leader="none"/>
        </w:tabs>
        <w:rPr/>
      </w:pPr>
      <w:r>
        <w:rPr/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Normal"/>
        <w:rPr>
          <w:lang w:eastAsia="en-US"/>
        </w:rPr>
      </w:pPr>
      <w:r>
        <w:rPr>
          <w:i/>
        </w:rPr>
        <w:t>Дата подписания протокола: 03.03.2025</w:t>
      </w:r>
    </w:p>
    <w:p>
      <w:pPr>
        <w:pStyle w:val="BodyTextIndent"/>
        <w:numPr>
          <w:ilvl w:val="0"/>
          <w:numId w:val="0"/>
        </w:numPr>
        <w:ind w:hanging="0" w:start="0" w:end="0"/>
        <w:jc w:val="both"/>
        <w:outlineLvl w:val="0"/>
        <w:rPr>
          <w:b/>
          <w:kern w:val="2"/>
          <w:sz w:val="24"/>
          <w:szCs w:val="24"/>
          <w:lang w:eastAsia="en-US"/>
        </w:rPr>
      </w:pPr>
      <w:r>
        <w:rPr>
          <w:b/>
          <w:kern w:val="2"/>
          <w:sz w:val="24"/>
          <w:szCs w:val="24"/>
          <w:lang w:eastAsia="en-US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1418" w:right="851" w:gutter="0" w:header="561" w:top="1134" w:footer="561" w:bottom="851"/>
      <w:pgNumType w:start="1" w:fmt="decimal"/>
      <w:formProt w:val="false"/>
      <w:titlePg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Proxima Nova ExCn Rg">
    <w:altName w:val="Candara"/>
    <w:charset w:val="00" w:characterSet="windows-1252"/>
    <w:family w:val="modern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end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sz w:val="24"/>
                              <w:szCs w:val="24"/>
                            </w:rPr>
                          </w:pPr>
                          <w:r>
                            <w:rPr>
                              <w:rStyle w:val="PageNumber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Style w:val="PageNumber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475.8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sz w:val="24"/>
                        <w:szCs w:val="24"/>
                      </w:rPr>
                    </w:pPr>
                    <w:r>
                      <w:rPr>
                        <w:rStyle w:val="PageNumber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Style w:val="PageNumber"/>
                        <w:sz w:val="24"/>
                        <w:szCs w:val="24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Style w:val="PageNumber"/>
                        <w:sz w:val="24"/>
                        <w:szCs w:val="24"/>
                      </w:rPr>
                      <w:t>4</w:t>
                    </w:r>
                    <w:r>
                      <w:rPr>
                        <w:rStyle w:val="PageNumber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left" w:pos="2490" w:leader="none"/>
        <w:tab w:val="center" w:pos="4677" w:leader="none"/>
        <w:tab w:val="right" w:pos="9355" w:leader="none"/>
      </w:tabs>
      <w:rPr/>
    </w:pPr>
    <w:r>
      <w:rPr>
        <w:rStyle w:val="PageNumber"/>
      </w:rPr>
      <w:tab/>
      <w:tab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start"/>
      <w:pPr>
        <w:tabs>
          <w:tab w:val="num" w:pos="432"/>
        </w:tabs>
        <w:ind w:start="432" w:hanging="432"/>
      </w:pPr>
      <w:rPr>
        <w:sz w:val="28"/>
        <w:i w:val="false"/>
        <w:b/>
        <w:szCs w:val="28"/>
        <w:rFonts w:ascii="Times New Roman" w:hAnsi="Times New Roman" w:cs="Times New Roman"/>
      </w:rPr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  <w:rPr>
        <w:sz w:val="28"/>
        <w:i w:val="false"/>
        <w:b w:val="false"/>
        <w:szCs w:val="26"/>
        <w:rFonts w:ascii="Times New Roman" w:hAnsi="Times New Roman" w:cs="Times New Roman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10725"/>
        </w:tabs>
        <w:ind w:start="10725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261" w:hanging="1134"/>
      </w:pPr>
      <w:rPr>
        <w:sz w:val="24"/>
        <w:szCs w:val="24"/>
        <w:rFonts w:ascii="Times New Roman" w:hAnsi="Times New Roman" w:cs="Times New Roman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844" w:hanging="1134"/>
      </w:pPr>
      <w:rPr>
        <w:b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1134"/>
      </w:pPr>
      <w:rPr>
        <w:b w:val="fals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1206" w:hanging="851"/>
      </w:pPr>
      <w:rPr>
        <w:i w:val="false"/>
        <w:b w:val="false"/>
      </w:rPr>
    </w:lvl>
    <w:lvl w:ilvl="4">
      <w:start w:val="1"/>
      <w:numFmt w:val="russianLower"/>
      <w:lvlText w:val="(%5)"/>
      <w:lvlJc w:val="start"/>
      <w:pPr>
        <w:tabs>
          <w:tab w:val="num" w:pos="0"/>
        </w:tabs>
        <w:ind w:start="2977" w:hanging="85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34" w:hanging="1134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rFonts w:cs="Times New Roman"/>
        <w:color w:val="000000"/>
      </w:r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134" w:hanging="1134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134" w:hanging="1134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134" w:hanging="1134"/>
      </w:pPr>
      <w:rPr/>
    </w:lvl>
  </w:abstractNum>
  <w:abstractNum w:abstractNumId="3">
    <w:lvl w:ilvl="0">
      <w:start w:val="1"/>
      <w:numFmt w:val="decimal"/>
      <w:lvlText w:val="%1."/>
      <w:lvlJc w:val="center"/>
      <w:pPr>
        <w:tabs>
          <w:tab w:val="num" w:pos="567"/>
        </w:tabs>
        <w:ind w:start="567" w:hanging="279"/>
      </w:pPr>
    </w:lvl>
    <w:lvl w:ilvl="1">
      <w:start w:val="1"/>
      <w:numFmt w:val="decimal"/>
      <w:lvlText w:val="%1.%2."/>
      <w:lvlJc w:val="start"/>
      <w:pPr>
        <w:tabs>
          <w:tab w:val="num" w:pos="1702"/>
        </w:tabs>
        <w:ind w:start="1702" w:hanging="567"/>
      </w:pPr>
    </w:lvl>
    <w:lvl w:ilvl="2">
      <w:start w:val="1"/>
      <w:numFmt w:val="decimal"/>
      <w:lvlText w:val="%1.%2.%3."/>
      <w:lvlJc w:val="start"/>
      <w:pPr>
        <w:tabs>
          <w:tab w:val="num" w:pos="851"/>
        </w:tabs>
        <w:ind w:start="851" w:hanging="851"/>
      </w:pPr>
      <w:rPr>
        <w:sz w:val="28"/>
        <w:spacing w:val="0"/>
        <w:szCs w:val="28"/>
      </w:rPr>
    </w:lvl>
    <w:lvl w:ilvl="3">
      <w:start w:val="1"/>
      <w:numFmt w:val="decimal"/>
      <w:lvlText w:val="%1.%2.%3.%4."/>
      <w:lvlJc w:val="start"/>
      <w:pPr>
        <w:tabs>
          <w:tab w:val="num" w:pos="2127"/>
        </w:tabs>
        <w:ind w:start="2127" w:hanging="567"/>
      </w:pPr>
    </w:lvl>
    <w:lvl w:ilvl="4">
      <w:start w:val="1"/>
      <w:numFmt w:val="russianLower"/>
      <w:lvlText w:val="%5)"/>
      <w:lvlJc w:val="start"/>
      <w:pPr>
        <w:tabs>
          <w:tab w:val="num" w:pos="1576"/>
        </w:tabs>
        <w:ind w:start="1576" w:hanging="1008"/>
      </w:pPr>
    </w:lvl>
    <w:lvl w:ilvl="5">
      <w:start w:val="1"/>
      <w:numFmt w:val="decimal"/>
      <w:lvlText w:val="%1.%2.%3.%4.%5.%6"/>
      <w:lvlJc w:val="start"/>
      <w:pPr>
        <w:tabs>
          <w:tab w:val="num" w:pos="2592"/>
        </w:tabs>
        <w:ind w:start="2592" w:hanging="1152"/>
      </w:pPr>
    </w:lvl>
    <w:lvl w:ilvl="6">
      <w:start w:val="1"/>
      <w:numFmt w:val="decimal"/>
      <w:lvlText w:val="%1.%2.%3.%4.%5.%6.%7"/>
      <w:lvlJc w:val="start"/>
      <w:pPr>
        <w:tabs>
          <w:tab w:val="num" w:pos="2736"/>
        </w:tabs>
        <w:ind w:start="2736" w:hanging="1296"/>
      </w:pPr>
    </w:lvl>
    <w:lvl w:ilvl="7">
      <w:start w:val="1"/>
      <w:numFmt w:val="decimal"/>
      <w:lvlText w:val="%1.%2.%3.%4.%5.%6.%7.%8"/>
      <w:lvlJc w:val="start"/>
      <w:pPr>
        <w:tabs>
          <w:tab w:val="num" w:pos="2880"/>
        </w:tabs>
        <w:ind w:start="288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3024"/>
        </w:tabs>
        <w:ind w:start="3024" w:hanging="1584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Times New Roman" w:hAnsi="Times New Roman" w:cs="Times New Roman"/>
      <w:sz w:val="24"/>
      <w:szCs w:val="24"/>
    </w:rPr>
  </w:style>
  <w:style w:type="character" w:styleId="WW8Num5z1">
    <w:name w:val="WW8Num5z1"/>
    <w:qFormat/>
    <w:rPr>
      <w:b/>
    </w:rPr>
  </w:style>
  <w:style w:type="character" w:styleId="WW8Num5z2">
    <w:name w:val="WW8Num5z2"/>
    <w:qFormat/>
    <w:rPr>
      <w:b w:val="false"/>
    </w:rPr>
  </w:style>
  <w:style w:type="character" w:styleId="WW8Num5z3">
    <w:name w:val="WW8Num5z3"/>
    <w:qFormat/>
    <w:rPr>
      <w:b w:val="false"/>
      <w:i w:val="false"/>
    </w:rPr>
  </w:style>
  <w:style w:type="character" w:styleId="WW8Num5z4">
    <w:name w:val="WW8Num5z4"/>
    <w:qFormat/>
    <w:rPr/>
  </w:style>
  <w:style w:type="character" w:styleId="WW8Num5z5">
    <w:name w:val="WW8Num5z5"/>
    <w:qFormat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kern w:val="0"/>
      <w:position w:val="0"/>
      <w:sz w:val="24"/>
      <w:u w:val="none"/>
      <w:vertAlign w:val="baseline"/>
      <w:em w:val="none"/>
    </w:rPr>
  </w:style>
  <w:style w:type="character" w:styleId="WW8Num6z0">
    <w:name w:val="WW8Num6z0"/>
    <w:qFormat/>
    <w:rPr>
      <w:rFonts w:ascii="Times New Roman" w:hAnsi="Times New Roman" w:cs="Times New Roman"/>
      <w:b/>
      <w:i w:val="false"/>
      <w:sz w:val="28"/>
      <w:szCs w:val="28"/>
    </w:rPr>
  </w:style>
  <w:style w:type="character" w:styleId="WW8Num6z1">
    <w:name w:val="WW8Num6z1"/>
    <w:qFormat/>
    <w:rPr>
      <w:rFonts w:ascii="Times New Roman" w:hAnsi="Times New Roman" w:cs="Times New Roman"/>
      <w:b w:val="false"/>
      <w:i w:val="false"/>
      <w:sz w:val="28"/>
      <w:szCs w:val="26"/>
    </w:rPr>
  </w:style>
  <w:style w:type="character" w:styleId="WW8Num6z2">
    <w:name w:val="WW8Num6z2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b/>
    </w:rPr>
  </w:style>
  <w:style w:type="character" w:styleId="WW8Num9z1">
    <w:name w:val="WW8Num9z1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b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1z2">
    <w:name w:val="WW8Num21z2"/>
    <w:qFormat/>
    <w:rPr>
      <w:spacing w:val="0"/>
      <w:sz w:val="28"/>
      <w:szCs w:val="28"/>
    </w:rPr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>
      <w:b/>
    </w:rPr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Style13">
    <w:name w:val="Основной шрифт абзаца"/>
    <w:qFormat/>
    <w:rPr/>
  </w:style>
  <w:style w:type="character" w:styleId="Style14">
    <w:name w:val="íîìåð ñòðàíèöû"/>
    <w:basedOn w:val="Style13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Style13"/>
    <w:rPr/>
  </w:style>
  <w:style w:type="character" w:styleId="Style15">
    <w:name w:val="Основной текст с отступом Знак"/>
    <w:basedOn w:val="Style13"/>
    <w:qFormat/>
    <w:rPr/>
  </w:style>
  <w:style w:type="character" w:styleId="Style16">
    <w:name w:val="Основной текст Знак"/>
    <w:basedOn w:val="Style13"/>
    <w:qFormat/>
    <w:rPr/>
  </w:style>
  <w:style w:type="character" w:styleId="Style17">
    <w:name w:val="Название Знак"/>
    <w:qFormat/>
    <w:rPr>
      <w:b/>
      <w:smallCaps/>
      <w:sz w:val="32"/>
    </w:rPr>
  </w:style>
  <w:style w:type="character" w:styleId="Style18">
    <w:name w:val="Нижний колонтитул Знак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12pt">
    <w:name w:val="Основной текст + 12 pt;Полужирный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 w:bidi="ru-RU"/>
    </w:rPr>
  </w:style>
  <w:style w:type="character" w:styleId="12pt1">
    <w:name w:val="Основной текст + 12 pt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 w:bidi="ru-RU"/>
    </w:rPr>
  </w:style>
  <w:style w:type="character" w:styleId="Style19">
    <w:name w:val="Без интервала Знак"/>
    <w:qFormat/>
    <w:rPr>
      <w:rFonts w:ascii="Calibri" w:hAnsi="Calibri" w:eastAsia="Calibri" w:cs="Calibri"/>
      <w:sz w:val="22"/>
      <w:szCs w:val="22"/>
    </w:rPr>
  </w:style>
  <w:style w:type="character" w:styleId="Style20">
    <w:name w:val="[Ростех] Простой текст (Без уровня) Знак"/>
    <w:qFormat/>
    <w:rPr>
      <w:rFonts w:ascii="Proxima Nova ExCn Rg;Candara" w:hAnsi="Proxima Nova ExCn Rg;Candara" w:cs="Proxima Nova ExCn Rg;Candara"/>
      <w:sz w:val="28"/>
      <w:szCs w:val="28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mallCaps/>
      <w:sz w:val="32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pPr>
      <w:ind w:hanging="0" w:start="5529" w:end="0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153" w:leader="none"/>
        <w:tab w:val="right" w:pos="8306" w:leader="none"/>
      </w:tabs>
    </w:pPr>
    <w:rPr/>
  </w:style>
  <w:style w:type="paragraph" w:styleId="FootnoteText">
    <w:name w:val="footnote text"/>
    <w:basedOn w:val="Normal"/>
    <w:pPr/>
    <w:rPr/>
  </w:style>
  <w:style w:type="paragraph" w:styleId="2">
    <w:name w:val="Основной текст с отступом 2"/>
    <w:basedOn w:val="Normal"/>
    <w:qFormat/>
    <w:pPr>
      <w:suppressAutoHyphens w:val="true"/>
      <w:spacing w:before="120" w:after="120"/>
      <w:ind w:firstLine="540" w:start="0" w:end="0"/>
      <w:jc w:val="both"/>
    </w:pPr>
    <w:rPr>
      <w:sz w:val="26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1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2">
    <w:name w:val=" Знак Знак Знак"/>
    <w:basedOn w:val="Normal"/>
    <w:qFormat/>
    <w:pPr>
      <w:spacing w:before="280" w:after="280"/>
    </w:pPr>
    <w:rPr>
      <w:rFonts w:ascii="Tahoma" w:hAnsi="Tahoma" w:cs="Tahoma"/>
      <w:lang w:val="en-US"/>
    </w:rPr>
  </w:style>
  <w:style w:type="paragraph" w:styleId="Style23">
    <w:name w:val=" Знак Знак Знак Знак Знак Знак"/>
    <w:basedOn w:val="Normal"/>
    <w:qFormat/>
    <w:pPr>
      <w:spacing w:before="280" w:after="280"/>
    </w:pPr>
    <w:rPr>
      <w:rFonts w:ascii="Tahoma" w:hAnsi="Tahoma" w:cs="Tahoma"/>
      <w:lang w:val="en-US"/>
    </w:rPr>
  </w:style>
  <w:style w:type="paragraph" w:styleId="PlainText">
    <w:name w:val="Plain Text"/>
    <w:basedOn w:val="Normal"/>
    <w:qFormat/>
    <w:pPr>
      <w:spacing w:lineRule="auto" w:line="360"/>
      <w:ind w:firstLine="720" w:start="0" w:end="0"/>
      <w:jc w:val="both"/>
    </w:pPr>
    <w:rPr>
      <w:sz w:val="28"/>
    </w:rPr>
  </w:style>
  <w:style w:type="paragraph" w:styleId="BodyText2">
    <w:name w:val="Body Text 2"/>
    <w:basedOn w:val="Normal"/>
    <w:qFormat/>
    <w:pPr>
      <w:ind w:firstLine="567" w:start="0" w:end="0"/>
      <w:jc w:val="both"/>
    </w:pPr>
    <w:rPr>
      <w:sz w:val="24"/>
    </w:rPr>
  </w:style>
  <w:style w:type="paragraph" w:styleId="Style24">
    <w:name w:val="Пункт Знак"/>
    <w:basedOn w:val="Normal"/>
    <w:qFormat/>
    <w:pPr>
      <w:numPr>
        <w:ilvl w:val="0"/>
        <w:numId w:val="3"/>
      </w:numPr>
      <w:tabs>
        <w:tab w:val="clear" w:pos="708"/>
        <w:tab w:val="left" w:pos="851" w:leader="none"/>
        <w:tab w:val="left" w:pos="1134" w:leader="none"/>
      </w:tabs>
      <w:snapToGrid w:val="false"/>
      <w:spacing w:lineRule="auto" w:line="360"/>
      <w:jc w:val="both"/>
    </w:pPr>
    <w:rPr>
      <w:sz w:val="28"/>
    </w:rPr>
  </w:style>
  <w:style w:type="paragraph" w:styleId="Style25">
    <w:name w:val="Подпункт"/>
    <w:basedOn w:val="Style24"/>
    <w:qFormat/>
    <w:pPr>
      <w:numPr>
        <w:ilvl w:val="0"/>
        <w:numId w:val="3"/>
      </w:numPr>
      <w:tabs>
        <w:tab w:val="clear" w:pos="1134"/>
        <w:tab w:val="left" w:pos="851" w:leader="none"/>
      </w:tabs>
    </w:pPr>
    <w:rPr/>
  </w:style>
  <w:style w:type="paragraph" w:styleId="Style26">
    <w:name w:val="Подподпункт"/>
    <w:basedOn w:val="Style25"/>
    <w:qFormat/>
    <w:pPr>
      <w:numPr>
        <w:ilvl w:val="0"/>
        <w:numId w:val="3"/>
      </w:numPr>
      <w:tabs>
        <w:tab w:val="left" w:pos="851" w:leader="none"/>
        <w:tab w:val="left" w:pos="1134" w:leader="none"/>
        <w:tab w:val="left" w:pos="1418" w:leader="none"/>
      </w:tabs>
      <w:snapToGrid w:val="true"/>
    </w:pPr>
    <w:rPr/>
  </w:style>
  <w:style w:type="paragraph" w:styleId="Style27">
    <w:name w:val="Подподподпункт"/>
    <w:basedOn w:val="Normal"/>
    <w:qFormat/>
    <w:pPr>
      <w:numPr>
        <w:ilvl w:val="0"/>
        <w:numId w:val="3"/>
      </w:numPr>
      <w:tabs>
        <w:tab w:val="clear" w:pos="708"/>
        <w:tab w:val="left" w:pos="1134" w:leader="none"/>
        <w:tab w:val="left" w:pos="1701" w:leader="none"/>
      </w:tabs>
      <w:snapToGrid w:val="false"/>
      <w:spacing w:lineRule="auto" w:line="360"/>
      <w:jc w:val="both"/>
    </w:pPr>
    <w:rPr>
      <w:sz w:val="28"/>
    </w:rPr>
  </w:style>
  <w:style w:type="paragraph" w:styleId="1">
    <w:name w:val="Пункт1"/>
    <w:basedOn w:val="Normal"/>
    <w:qFormat/>
    <w:pPr>
      <w:numPr>
        <w:ilvl w:val="0"/>
        <w:numId w:val="3"/>
      </w:numPr>
      <w:snapToGrid w:val="false"/>
      <w:spacing w:lineRule="auto" w:line="360" w:before="240" w:after="0"/>
      <w:jc w:val="center"/>
    </w:pPr>
    <w:rPr>
      <w:rFonts w:ascii="Arial" w:hAnsi="Arial" w:cs="Arial"/>
      <w:b/>
      <w:sz w:val="28"/>
      <w:szCs w:val="28"/>
    </w:rPr>
  </w:style>
  <w:style w:type="paragraph" w:styleId="WW-">
    <w:name w:val="WW-Базовый"/>
    <w:qFormat/>
    <w:pPr>
      <w:widowControl/>
      <w:tabs>
        <w:tab w:val="clear" w:pos="708"/>
        <w:tab w:val="left" w:pos="709" w:leader="none"/>
      </w:tabs>
      <w:suppressAutoHyphens w:val="true"/>
      <w:bidi w:val="0"/>
      <w:spacing w:lineRule="atLeast" w:line="200"/>
    </w:pPr>
    <w:rPr>
      <w:rFonts w:ascii="Times New Roman" w:hAnsi="Times New Roman" w:eastAsia="Arial" w:cs="Tahoma"/>
      <w:color w:val="000000"/>
      <w:sz w:val="24"/>
      <w:szCs w:val="24"/>
      <w:lang w:val="en-US" w:bidi="ar-SA" w:eastAsia="zh-CN"/>
    </w:rPr>
  </w:style>
  <w:style w:type="paragraph" w:styleId="Style28">
    <w:name w:val="Без интервала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paragraph" w:styleId="3">
    <w:name w:val="[Ростех] Наименование Подраздела (Уровень 3)"/>
    <w:qFormat/>
    <w:pPr>
      <w:keepNext w:val="true"/>
      <w:keepLines/>
      <w:widowControl/>
      <w:numPr>
        <w:ilvl w:val="0"/>
        <w:numId w:val="2"/>
      </w:numPr>
      <w:suppressAutoHyphens w:val="true"/>
      <w:bidi w:val="0"/>
      <w:spacing w:before="240" w:after="0"/>
      <w:outlineLvl w:val="2"/>
    </w:pPr>
    <w:rPr>
      <w:rFonts w:ascii="Proxima Nova ExCn Rg;Candara" w:hAnsi="Proxima Nova ExCn Rg;Candara" w:eastAsia="Times New Roman" w:cs="Proxima Nova ExCn Rg;Candara"/>
      <w:b/>
      <w:color w:val="auto"/>
      <w:sz w:val="28"/>
      <w:szCs w:val="28"/>
      <w:lang w:val="ru-RU" w:bidi="ar-SA" w:eastAsia="zh-CN"/>
    </w:rPr>
  </w:style>
  <w:style w:type="paragraph" w:styleId="21">
    <w:name w:val="[Ростех] Наименование Раздела (Уровень 2)"/>
    <w:qFormat/>
    <w:pPr>
      <w:keepNext w:val="true"/>
      <w:keepLines/>
      <w:widowControl/>
      <w:numPr>
        <w:ilvl w:val="0"/>
        <w:numId w:val="2"/>
      </w:numPr>
      <w:suppressAutoHyphens w:val="true"/>
      <w:bidi w:val="0"/>
      <w:spacing w:before="240" w:after="0"/>
      <w:jc w:val="center"/>
      <w:outlineLvl w:val="1"/>
    </w:pPr>
    <w:rPr>
      <w:rFonts w:ascii="Proxima Nova ExCn Rg;Candara" w:hAnsi="Proxima Nova ExCn Rg;Candara" w:eastAsia="Times New Roman" w:cs="Proxima Nova ExCn Rg;Candara"/>
      <w:b/>
      <w:color w:val="auto"/>
      <w:sz w:val="28"/>
      <w:szCs w:val="28"/>
      <w:lang w:val="ru-RU" w:bidi="ar-SA" w:eastAsia="zh-CN"/>
    </w:rPr>
  </w:style>
  <w:style w:type="paragraph" w:styleId="Style29">
    <w:name w:val="[Ростех] Простой текст (Без уровня)"/>
    <w:qFormat/>
    <w:pPr>
      <w:widowControl/>
      <w:numPr>
        <w:ilvl w:val="0"/>
        <w:numId w:val="2"/>
      </w:numPr>
      <w:suppressAutoHyphens w:val="true"/>
      <w:bidi w:val="0"/>
      <w:spacing w:before="120" w:after="0"/>
      <w:jc w:val="both"/>
    </w:pPr>
    <w:rPr>
      <w:rFonts w:ascii="Proxima Nova ExCn Rg;Candara" w:hAnsi="Proxima Nova ExCn Rg;Candara" w:eastAsia="Times New Roman" w:cs="Proxima Nova ExCn Rg;Candara"/>
      <w:color w:val="auto"/>
      <w:sz w:val="28"/>
      <w:szCs w:val="28"/>
      <w:lang w:val="ru-RU" w:bidi="ar-SA" w:eastAsia="zh-CN"/>
    </w:rPr>
  </w:style>
  <w:style w:type="paragraph" w:styleId="5">
    <w:name w:val="[Ростех] Текст Подпункта (Уровень 5)"/>
    <w:qFormat/>
    <w:pPr>
      <w:widowControl/>
      <w:numPr>
        <w:ilvl w:val="0"/>
        <w:numId w:val="2"/>
      </w:numPr>
      <w:suppressAutoHyphens w:val="true"/>
      <w:bidi w:val="0"/>
      <w:spacing w:before="120" w:after="0"/>
      <w:jc w:val="both"/>
      <w:outlineLvl w:val="4"/>
    </w:pPr>
    <w:rPr>
      <w:rFonts w:ascii="Proxima Nova ExCn Rg;Candara" w:hAnsi="Proxima Nova ExCn Rg;Candara" w:eastAsia="Times New Roman" w:cs="Proxima Nova ExCn Rg;Candara"/>
      <w:color w:val="auto"/>
      <w:sz w:val="28"/>
      <w:szCs w:val="28"/>
      <w:lang w:val="ru-RU" w:bidi="ar-SA" w:eastAsia="zh-CN"/>
    </w:rPr>
  </w:style>
  <w:style w:type="paragraph" w:styleId="6">
    <w:name w:val="[Ростех] Текст Подпункта подпункта (Уровень 6)"/>
    <w:qFormat/>
    <w:pPr>
      <w:widowControl/>
      <w:numPr>
        <w:ilvl w:val="0"/>
        <w:numId w:val="2"/>
      </w:numPr>
      <w:suppressAutoHyphens w:val="true"/>
      <w:bidi w:val="0"/>
      <w:spacing w:before="120" w:after="0"/>
      <w:jc w:val="both"/>
      <w:outlineLvl w:val="5"/>
    </w:pPr>
    <w:rPr>
      <w:rFonts w:ascii="Proxima Nova ExCn Rg;Candara" w:hAnsi="Proxima Nova ExCn Rg;Candara" w:eastAsia="Times New Roman" w:cs="Proxima Nova ExCn Rg;Candara"/>
      <w:color w:val="auto"/>
      <w:sz w:val="28"/>
      <w:szCs w:val="28"/>
      <w:lang w:val="ru-RU" w:bidi="ar-SA" w:eastAsia="zh-CN"/>
    </w:rPr>
  </w:style>
  <w:style w:type="paragraph" w:styleId="4">
    <w:name w:val="[Ростех] Текст Пункта (Уровень 4)"/>
    <w:qFormat/>
    <w:pPr>
      <w:widowControl/>
      <w:numPr>
        <w:ilvl w:val="0"/>
        <w:numId w:val="2"/>
      </w:numPr>
      <w:suppressAutoHyphens w:val="true"/>
      <w:bidi w:val="0"/>
      <w:spacing w:before="120" w:after="0"/>
      <w:ind w:hanging="0" w:start="1134" w:end="0"/>
      <w:jc w:val="both"/>
      <w:outlineLvl w:val="3"/>
    </w:pPr>
    <w:rPr>
      <w:rFonts w:ascii="Proxima Nova ExCn Rg;Candara" w:hAnsi="Proxima Nova ExCn Rg;Candara" w:eastAsia="Times New Roman" w:cs="Proxima Nova ExCn Rg;Candara"/>
      <w:color w:val="auto"/>
      <w:sz w:val="28"/>
      <w:szCs w:val="28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HeaderLeft">
    <w:name w:val="Header Left"/>
    <w:basedOn w:val="Header"/>
    <w:qFormat/>
    <w:pPr>
      <w:suppressLineNumbers/>
      <w:tabs>
        <w:tab w:val="clear" w:pos="4677"/>
        <w:tab w:val="clear" w:pos="9355"/>
        <w:tab w:val="center" w:pos="4818" w:leader="none"/>
        <w:tab w:val="right" w:pos="9637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zakupki@vniikr.ru" TargetMode="External"/><Relationship Id="rId3" Type="http://schemas.openxmlformats.org/officeDocument/2006/relationships/hyperlink" Target="http://utp.sberbank-ast.ru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2024-05-02T12:27:00Z</dcterms:created>
  <dc:creator>Пользователь</dc:creator>
  <dc:description/>
  <cp:keywords/>
  <dc:language>en-US</dc:language>
  <cp:lastModifiedBy>Сапрыкина Наталия</cp:lastModifiedBy>
  <cp:lastPrinted>2025-03-03T10:35:00Z</cp:lastPrinted>
  <dcterms:modified xsi:type="dcterms:W3CDTF">2025-03-03T13:30:00Z</dcterms:modified>
  <cp:revision>7</cp:revision>
  <dc:subject/>
  <dc:title>ПРОТОКОЛ № _______</dc:title>
</cp:coreProperties>
</file>