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aps/>
          <w:sz w:val="24"/>
          <w:szCs w:val="24"/>
          <w:lang w:eastAsia="ru-RU"/>
        </w:rPr>
        <w:t>протокол № 01/0225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РАССМОТРЕНИЯ ПЕРВЫХ ЧАСТЕЙ ЗАЯВОК НА УЧАСТИЕ 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В ЭЛЕКТРОННОМ АУКЦИОНЕ № 16/2025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Московская область,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м.о. Раменский, рп. Быково</w:t>
      </w: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«03» марта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jc w:val="both"/>
        <w:rPr/>
      </w:pPr>
      <w:r>
        <w:rPr>
          <w:rStyle w:val="Strong"/>
          <w:rFonts w:cs="Times New Roman" w:ascii="Times New Roman" w:hAnsi="Times New Roman"/>
          <w:b w:val="false"/>
          <w:bCs/>
          <w:sz w:val="24"/>
          <w:szCs w:val="24"/>
        </w:rPr>
        <w:t>1. Заказчик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Наименование: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Федеральное государственное бюджетное учреждение «Всероссийский центр карантина растений» (ФГБУ «ВНИИКР»)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Место нахождения: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140150, Московская область, м.о. Раменский,</w:t>
        <w:br/>
        <w:t>рп. Быково, ул. Пограничная, д. 32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Почтовый адрес: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140150, Московская область, м.о. Раменский, рп. Быково,</w:t>
        <w:br/>
        <w:t>ул. Пограничная, д. 32</w:t>
      </w:r>
    </w:p>
    <w:p>
      <w:pPr>
        <w:pStyle w:val="BodyText"/>
        <w:spacing w:lineRule="auto" w:line="240"/>
        <w:rPr>
          <w:i w:val="false"/>
          <w:i w:val="false"/>
        </w:rPr>
      </w:pPr>
      <w:r>
        <w:rPr>
          <w:b/>
          <w:i w:val="false"/>
        </w:rPr>
        <w:t xml:space="preserve">Адрес электронной почты: </w:t>
      </w:r>
      <w:hyperlink r:id="rId2">
        <w:r>
          <w:rPr>
            <w:rStyle w:val="Hyperlink"/>
            <w:i/>
            <w:lang w:val="en-US"/>
          </w:rPr>
          <w:t>zakupki</w:t>
        </w:r>
        <w:r>
          <w:rPr>
            <w:rStyle w:val="Hyperlink"/>
            <w:i/>
          </w:rPr>
          <w:t>@vniikr.ru</w:t>
        </w:r>
      </w:hyperlink>
    </w:p>
    <w:p>
      <w:pPr>
        <w:pStyle w:val="BodyText"/>
        <w:spacing w:lineRule="auto" w:line="240"/>
        <w:rPr>
          <w:rStyle w:val="Strong"/>
          <w:b w:val="false"/>
          <w:bCs w:val="false"/>
          <w:i/>
          <w:i/>
        </w:rPr>
      </w:pPr>
      <w:r>
        <w:rPr>
          <w:b/>
          <w:i w:val="false"/>
        </w:rPr>
        <w:t xml:space="preserve">Номер контактного телефона: </w:t>
      </w:r>
      <w:r>
        <w:rPr>
          <w:i w:val="false"/>
        </w:rPr>
        <w:t>+7</w:t>
      </w:r>
      <w:r>
        <w:rPr>
          <w:b/>
          <w:i w:val="false"/>
        </w:rPr>
        <w:t xml:space="preserve"> </w:t>
      </w:r>
      <w:r>
        <w:rPr>
          <w:i w:val="false"/>
        </w:rPr>
        <w:t>(499) 707-22-27 доб. 1807</w:t>
      </w:r>
    </w:p>
    <w:p>
      <w:pPr>
        <w:pStyle w:val="Style2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  <w:lang w:eastAsia="ru-RU"/>
        </w:rPr>
        <w:t>2.</w:t>
      </w:r>
      <w:r>
        <w:rPr>
          <w:rStyle w:val="Strong"/>
          <w:rFonts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lang w:eastAsia="ru-RU"/>
        </w:rPr>
        <w:t xml:space="preserve">На заседании комиссии по рассмотрению 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заявок</w:t>
      </w:r>
      <w:r>
        <w:rPr/>
        <w:t xml:space="preserve"> на участие в электронном аукционе присутствовали: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3"/>
        <w:gridCol w:w="6804"/>
      </w:tblGrid>
      <w:tr>
        <w:trPr/>
        <w:tc>
          <w:tcPr>
            <w:tcW w:w="9747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Председатель комиссии:</w:t>
            </w:r>
          </w:p>
        </w:tc>
      </w:tr>
      <w:tr>
        <w:trPr/>
        <w:tc>
          <w:tcPr>
            <w:tcW w:w="294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Л.В. Чигирина</w:t>
            </w:r>
          </w:p>
        </w:tc>
        <w:tc>
          <w:tcPr>
            <w:tcW w:w="6804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заместитель директора</w:t>
            </w:r>
          </w:p>
        </w:tc>
      </w:tr>
      <w:tr>
        <w:trPr>
          <w:trHeight w:val="1155" w:hRule="atLeast"/>
        </w:trPr>
        <w:tc>
          <w:tcPr>
            <w:tcW w:w="294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Члены комиссии: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О.И. Баранова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А.Н. Овсянников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Н.Г. Ващенко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П.И. Ястребов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Секретарь комиссии:</w:t>
            </w:r>
          </w:p>
        </w:tc>
        <w:tc>
          <w:tcPr>
            <w:tcW w:w="6804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советник директора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главный инженер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начальник контрактного отдела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начальник инженерно-эксплуатационного отдела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66" w:hRule="atLeast"/>
        </w:trPr>
        <w:tc>
          <w:tcPr>
            <w:tcW w:w="294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Н.Н. Богатырева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(без права голоса)</w:t>
            </w:r>
          </w:p>
        </w:tc>
        <w:tc>
          <w:tcPr>
            <w:tcW w:w="6804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специалист по закупкам контрактного отдела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Отсутствовал секретарь комиссии Н.П. Васильчик ведущий специалист контрактного отдела. Обязанности секретаря комиссии возлагаются на члена комиссии Н.Н. Богатыреву, старшего специалиста по закупкам контрактного отдела. В состав комиссии входит 6 членов. Заседание проводится в присутствии 6 членов комиссии. Комиссия правомочна. Кворум имеется.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3.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Место рассмотрения заявок на участие в электронном аукционе: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140150, Московская обл., м.о. Раменский, рп. Быково, ул. Пограничная, д. 32;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Дата рассмотрения заявок электронного аукциона: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03.03.2025г.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4.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 xml:space="preserve">Номер извещения: </w:t>
      </w:r>
      <w:r>
        <w:rPr>
          <w:rFonts w:cs="Times New Roman" w:ascii="Times New Roman" w:hAnsi="Times New Roman"/>
          <w:b/>
          <w:sz w:val="24"/>
          <w:szCs w:val="24"/>
        </w:rPr>
        <w:t>32514507567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Извещение о проведении электронного аукциона размещено в </w:t>
      </w:r>
      <w:r>
        <w:rPr>
          <w:rFonts w:cs="Times New Roman" w:ascii="Times New Roman" w:hAnsi="Times New Roman"/>
          <w:kern w:val="2"/>
          <w:sz w:val="24"/>
          <w:szCs w:val="24"/>
        </w:rPr>
        <w:t>единой информационной системе в сфере закупок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</w:t>
      </w:r>
      <w:hyperlink r:id="rId3">
        <w:r>
          <w:rPr>
            <w:rStyle w:val="Hyperlink"/>
            <w:rFonts w:cs="Times New Roman" w:ascii="Times New Roman" w:hAnsi="Times New Roman"/>
            <w:color w:val="0000FF"/>
            <w:kern w:val="2"/>
            <w:sz w:val="24"/>
            <w:szCs w:val="24"/>
            <w:u w:val="single"/>
          </w:rPr>
          <w:t>www.zakupki.gov.ru</w:t>
        </w:r>
      </w:hyperlink>
      <w:r>
        <w:rPr>
          <w:rFonts w:cs="Times New Roman" w:ascii="Times New Roman" w:hAnsi="Times New Roman"/>
          <w:kern w:val="2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 на </w:t>
      </w:r>
      <w:r>
        <w:rPr>
          <w:rFonts w:cs="Times New Roman" w:ascii="Times New Roman" w:hAnsi="Times New Roman"/>
          <w:sz w:val="24"/>
          <w:szCs w:val="24"/>
        </w:rPr>
        <w:t xml:space="preserve">сайте универсальной торговой платформы АО «Сбербанк – АСТ» </w:t>
      </w:r>
      <w:hyperlink r:id="rId4">
        <w:r>
          <w:rPr>
            <w:rStyle w:val="Hyperlink"/>
            <w:rFonts w:cs="Times New Roman" w:ascii="Times New Roman" w:hAnsi="Times New Roman"/>
            <w:sz w:val="24"/>
            <w:szCs w:val="24"/>
            <w:u w:val="single"/>
          </w:rPr>
          <w:t>http://utp.sberbank-ast.ru</w:t>
        </w:r>
      </w:hyperlink>
      <w:r>
        <w:rPr>
          <w:rFonts w:cs="Times New Roman" w:ascii="Times New Roman" w:hAnsi="Times New Roman"/>
          <w:sz w:val="24"/>
          <w:szCs w:val="24"/>
          <w:u w:val="single"/>
        </w:rPr>
        <w:t>.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12.02.2025 г.</w:t>
      </w:r>
    </w:p>
    <w:p>
      <w:pPr>
        <w:pStyle w:val="Style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lang w:eastAsia="ru-RU"/>
        </w:rPr>
        <w:t xml:space="preserve">5. Наименование предмета 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электронного аукциона: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Оказание услуг по откачке выгребной ямы на территории территориального отдела в Республике Дагестан Южного филиала ФГБУ "ВНИИКР"</w:t>
      </w:r>
      <w:r>
        <w:rPr>
          <w:rFonts w:cs="Times New Roman" w:ascii="Times New Roman" w:hAnsi="Times New Roman"/>
          <w:color w:val="000000"/>
          <w:sz w:val="24"/>
          <w:szCs w:val="24"/>
          <w:lang w:eastAsia="ru-RU"/>
        </w:rPr>
        <w:t>.</w:t>
      </w:r>
    </w:p>
    <w:p>
      <w:pPr>
        <w:pStyle w:val="Style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Характеристики оказываемых услуг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ar-SA"/>
        </w:rPr>
        <w:t xml:space="preserve">Представлены в Техническом задании части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ar-SA"/>
        </w:rPr>
        <w:t>II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ar-SA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Аукционной документации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  <w:t xml:space="preserve">Место </w:t>
      </w:r>
      <w:r>
        <w:rPr>
          <w:rFonts w:cs="Times New Roman" w:ascii="Times New Roman" w:hAnsi="Times New Roman"/>
          <w:b/>
          <w:sz w:val="24"/>
          <w:szCs w:val="24"/>
        </w:rPr>
        <w:t>оказания услуг</w:t>
      </w:r>
      <w:r>
        <w:rPr>
          <w:rFonts w:cs="Times New Roman" w:ascii="Times New Roman" w:hAnsi="Times New Roman"/>
          <w:b/>
          <w:bCs/>
          <w:kern w:val="2"/>
          <w:sz w:val="24"/>
          <w:szCs w:val="24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Республика Дагестан, г. Махачкала, квартал КОР, ул. Даганова, 141</w:t>
      </w:r>
    </w:p>
    <w:p>
      <w:pPr>
        <w:pStyle w:val="Normal"/>
        <w:snapToGrid w:val="false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ar-SA"/>
        </w:rPr>
      </w:pPr>
      <w:r>
        <w:rPr>
          <w:rFonts w:cs="Times New Roman" w:ascii="Times New Roman" w:hAnsi="Times New Roman"/>
          <w:b/>
          <w:kern w:val="2"/>
          <w:sz w:val="24"/>
          <w:szCs w:val="24"/>
        </w:rPr>
        <w:t xml:space="preserve">Срок </w:t>
      </w:r>
      <w:r>
        <w:rPr>
          <w:rFonts w:cs="Times New Roman" w:ascii="Times New Roman" w:hAnsi="Times New Roman"/>
          <w:b/>
          <w:sz w:val="24"/>
          <w:szCs w:val="24"/>
        </w:rPr>
        <w:t>оказания услуг</w:t>
      </w:r>
      <w:r>
        <w:rPr>
          <w:rFonts w:cs="Times New Roman" w:ascii="Times New Roman" w:hAnsi="Times New Roman"/>
          <w:b/>
          <w:kern w:val="2"/>
          <w:sz w:val="24"/>
          <w:szCs w:val="24"/>
        </w:rPr>
        <w:t>:</w:t>
      </w:r>
      <w:r>
        <w:rPr>
          <w:rFonts w:cs="Times New Roman" w:ascii="Times New Roman" w:hAnsi="Times New Roman"/>
          <w:b/>
          <w:bCs/>
          <w:kern w:val="2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Со следующего рабочего дня после заключения Договора в течении 1 (Одного) календарного года (включительно).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kern w:val="2"/>
          <w:sz w:val="24"/>
          <w:szCs w:val="24"/>
        </w:rPr>
        <w:t>Начальная (максимальная) цена договора</w:t>
      </w:r>
      <w:r>
        <w:rPr>
          <w:rFonts w:cs="Times New Roman" w:ascii="Times New Roman" w:hAnsi="Times New Roman"/>
          <w:kern w:val="2"/>
          <w:sz w:val="24"/>
          <w:szCs w:val="24"/>
        </w:rPr>
        <w:t>:</w:t>
      </w:r>
      <w:r>
        <w:rPr>
          <w:rFonts w:cs="Times New Roman" w:ascii="Times New Roman" w:hAnsi="Times New Roman"/>
          <w:b/>
          <w:sz w:val="24"/>
          <w:szCs w:val="24"/>
        </w:rPr>
        <w:t xml:space="preserve"> 219 600,00 (двести девятнадцать тысяч шестьсот) рублей 00 копеек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,</w:t>
      </w:r>
      <w:r>
        <w:rPr>
          <w:rFonts w:cs="Times New Roman" w:ascii="Times New Roman" w:hAnsi="Times New Roman"/>
          <w:sz w:val="24"/>
          <w:szCs w:val="24"/>
        </w:rPr>
        <w:t xml:space="preserve"> с учетом НДС 20 %</w:t>
      </w:r>
    </w:p>
    <w:p>
      <w:pPr>
        <w:pStyle w:val="Normal"/>
        <w:snapToGrid w:val="false"/>
        <w:spacing w:lineRule="auto" w:line="2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kern w:val="2"/>
          <w:sz w:val="24"/>
          <w:szCs w:val="24"/>
        </w:rPr>
        <w:t xml:space="preserve">Сведения о включенных (не включенных) в цену услуг расходах: </w:t>
      </w:r>
      <w:r>
        <w:rPr>
          <w:rFonts w:cs="Times New Roman" w:ascii="Times New Roman" w:hAnsi="Times New Roman"/>
          <w:color w:val="000000"/>
          <w:sz w:val="24"/>
          <w:szCs w:val="24"/>
        </w:rPr>
        <w:t>Цена включает в себя стоимость</w:t>
      </w:r>
      <w:r>
        <w:rPr>
          <w:rFonts w:cs="Times New Roman" w:ascii="Times New Roman" w:hAnsi="Times New Roman"/>
          <w:sz w:val="24"/>
          <w:szCs w:val="24"/>
        </w:rPr>
        <w:t xml:space="preserve"> услуг, налоги, сборы и другие обязательные платежи, взимаемые на территории Российской Федерации, а также иные расходы Исполнителя, связанные с исполнением обязательств по Договору.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Преимущества, предоставляемые заказчиком:</w:t>
      </w:r>
      <w:r>
        <w:rPr>
          <w:rFonts w:cs="Times New Roman" w:ascii="Times New Roman" w:hAnsi="Times New Roman"/>
          <w:sz w:val="24"/>
          <w:szCs w:val="24"/>
        </w:rPr>
        <w:t xml:space="preserve"> Не установлено.</w:t>
      </w:r>
    </w:p>
    <w:p>
      <w:pPr>
        <w:pStyle w:val="BodyTextIndent"/>
        <w:tabs>
          <w:tab w:val="clear" w:pos="708"/>
          <w:tab w:val="left" w:pos="851" w:leader="none"/>
        </w:tabs>
        <w:ind w:start="0" w:end="0"/>
        <w:jc w:val="both"/>
        <w:rPr>
          <w:rStyle w:val="Strong"/>
          <w:sz w:val="24"/>
          <w:szCs w:val="24"/>
        </w:rPr>
      </w:pPr>
      <w:r>
        <w:rPr>
          <w:rStyle w:val="Strong"/>
          <w:sz w:val="24"/>
          <w:szCs w:val="24"/>
        </w:rPr>
        <w:t xml:space="preserve">6. </w:t>
      </w:r>
      <w:r>
        <w:rPr>
          <w:b/>
          <w:bCs/>
          <w:kern w:val="2"/>
          <w:sz w:val="24"/>
          <w:szCs w:val="24"/>
        </w:rPr>
        <w:t>Участник, подавший заявку на участие в электронном аукционе:</w:t>
      </w:r>
    </w:p>
    <w:p>
      <w:pPr>
        <w:pStyle w:val="BodyTextIndent"/>
        <w:tabs>
          <w:tab w:val="clear" w:pos="708"/>
          <w:tab w:val="left" w:pos="851" w:leader="none"/>
        </w:tabs>
        <w:ind w:start="0" w:end="0"/>
        <w:jc w:val="both"/>
        <w:rPr>
          <w:rStyle w:val="Strong"/>
          <w:b w:val="false"/>
          <w:color w:val="000000"/>
          <w:sz w:val="24"/>
          <w:szCs w:val="24"/>
        </w:rPr>
      </w:pPr>
      <w:r>
        <w:rPr>
          <w:rStyle w:val="Strong"/>
          <w:b w:val="false"/>
          <w:sz w:val="24"/>
          <w:szCs w:val="24"/>
        </w:rPr>
        <w:t>По окончании срока подачи заявок на участие в электронном аукционе,</w:t>
      </w:r>
      <w:r>
        <w:rPr>
          <w:sz w:val="24"/>
          <w:szCs w:val="24"/>
        </w:rPr>
        <w:t xml:space="preserve"> а именно 28.02.2025 10:00,</w:t>
      </w:r>
      <w:r>
        <w:rPr>
          <w:rStyle w:val="Strong"/>
          <w:b w:val="false"/>
          <w:sz w:val="24"/>
          <w:szCs w:val="24"/>
        </w:rPr>
        <w:t xml:space="preserve"> </w:t>
      </w:r>
      <w:r>
        <w:rPr>
          <w:rStyle w:val="Strong"/>
          <w:b w:val="false"/>
          <w:color w:val="000000"/>
          <w:sz w:val="24"/>
          <w:szCs w:val="24"/>
        </w:rPr>
        <w:t>подана 1 (Одна) заявка:</w:t>
      </w:r>
    </w:p>
    <w:p>
      <w:pPr>
        <w:pStyle w:val="BodyTextIndent"/>
        <w:tabs>
          <w:tab w:val="clear" w:pos="708"/>
          <w:tab w:val="left" w:pos="851" w:leader="none"/>
        </w:tabs>
        <w:ind w:start="0" w:end="0"/>
        <w:jc w:val="both"/>
        <w:rPr>
          <w:rStyle w:val="Strong"/>
          <w:b w:val="false"/>
          <w:bCs/>
          <w:color w:val="000000"/>
          <w:sz w:val="24"/>
          <w:szCs w:val="24"/>
        </w:rPr>
      </w:pPr>
      <w:r>
        <w:rPr/>
      </w:r>
    </w:p>
    <w:tbl>
      <w:tblPr>
        <w:tblW w:w="93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1560"/>
        <w:gridCol w:w="1985"/>
        <w:gridCol w:w="4110"/>
      </w:tblGrid>
      <w:tr>
        <w:trPr>
          <w:tblHeader w:val="true"/>
          <w:trHeight w:val="855" w:hRule="atLeast"/>
          <w:cantSplit w:val="true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708"/>
                <w:tab w:val="left" w:pos="851" w:leader="none"/>
              </w:tabs>
              <w:spacing w:lineRule="auto" w:line="276"/>
              <w:ind w:start="0" w:end="0"/>
              <w:rPr>
                <w:rStyle w:val="Strong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708"/>
                <w:tab w:val="left" w:pos="851" w:leader="none"/>
              </w:tabs>
              <w:spacing w:lineRule="auto" w:line="276"/>
              <w:ind w:start="0" w:end="0"/>
              <w:rPr/>
            </w:pPr>
            <w:r>
              <w:rPr>
                <w:b/>
                <w:bCs/>
                <w:color w:val="000000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  <w:lang w:eastAsia="ru-RU"/>
              </w:rPr>
              <w:t>Решение о соответствии/ несоответствии</w:t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708"/>
                <w:tab w:val="left" w:pos="851" w:leader="none"/>
              </w:tabs>
              <w:spacing w:lineRule="auto" w:line="276"/>
              <w:ind w:start="0" w:end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Обоснование причин несоответствия</w:t>
            </w:r>
          </w:p>
          <w:p>
            <w:pPr>
              <w:pStyle w:val="BodyTextIndent"/>
              <w:tabs>
                <w:tab w:val="clear" w:pos="708"/>
                <w:tab w:val="left" w:pos="851" w:leader="none"/>
              </w:tabs>
              <w:spacing w:lineRule="auto" w:line="276"/>
              <w:ind w:start="0" w:end="0"/>
              <w:rPr>
                <w:b/>
                <w:i/>
                <w:i/>
                <w:color w:val="000000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(указать положения закона, которым не соответствует участник электронного аукциона, положений документации о таком аукционе, которым не соответствует заявка на участие в нем, положений заявки на участие в таком аукционе, которые не соответствуют требованиям, установленным документацией о нем)</w:t>
            </w:r>
          </w:p>
        </w:tc>
      </w:tr>
      <w:tr>
        <w:trPr>
          <w:trHeight w:val="277" w:hRule="atLeast"/>
          <w:cantSplit w:val="true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708"/>
                <w:tab w:val="left" w:pos="851" w:leader="none"/>
              </w:tabs>
              <w:autoSpaceDE w:val="false"/>
              <w:spacing w:lineRule="auto" w:line="276"/>
              <w:ind w:firstLine="4" w:start="0" w:end="0"/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</w:rPr>
              <w:t>8159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708"/>
                <w:tab w:val="left" w:pos="851" w:leader="none"/>
              </w:tabs>
              <w:autoSpaceDE w:val="false"/>
              <w:spacing w:lineRule="auto" w:line="276"/>
              <w:ind w:firstLine="4" w:start="0" w:end="0"/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</w:rPr>
              <w:t>18.02.2025 14:59:29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708"/>
                <w:tab w:val="left" w:pos="851" w:leader="none"/>
              </w:tabs>
              <w:autoSpaceDE w:val="false"/>
              <w:spacing w:lineRule="auto" w:line="276"/>
              <w:ind w:firstLine="4" w:start="0" w:end="0"/>
              <w:rPr/>
            </w:pPr>
            <w:r>
              <w:rPr>
                <w:rFonts w:eastAsia="Calibri"/>
                <w:bCs/>
                <w:sz w:val="24"/>
                <w:szCs w:val="24"/>
              </w:rPr>
              <w:t>Соответствует</w:t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0" w:after="0"/>
              <w:ind w:firstLine="4" w:end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-</w:t>
            </w:r>
          </w:p>
        </w:tc>
      </w:tr>
    </w:tbl>
    <w:p>
      <w:pPr>
        <w:pStyle w:val="Normal"/>
        <w:tabs>
          <w:tab w:val="clear" w:pos="708"/>
          <w:tab w:val="left" w:pos="6615" w:leader="none"/>
        </w:tabs>
        <w:spacing w:lineRule="auto" w:line="24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6615" w:leader="none"/>
        </w:tabs>
        <w:spacing w:lineRule="auto" w:line="24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7. Решения комиссии:</w:t>
      </w:r>
    </w:p>
    <w:p>
      <w:pPr>
        <w:pStyle w:val="Normal"/>
        <w:tabs>
          <w:tab w:val="clear" w:pos="708"/>
          <w:tab w:val="left" w:pos="6615" w:leader="none"/>
        </w:tabs>
        <w:spacing w:lineRule="auto" w:line="24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7.1.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lang w:eastAsia="ru-RU"/>
        </w:rPr>
        <w:t xml:space="preserve">Решение каждого члена комиссии </w:t>
      </w:r>
      <w:r>
        <w:rPr>
          <w:rFonts w:cs="Times New Roman" w:ascii="Times New Roman" w:hAnsi="Times New Roman"/>
          <w:b/>
          <w:sz w:val="24"/>
          <w:szCs w:val="24"/>
        </w:rPr>
        <w:t xml:space="preserve">в отношении участника электронного аукциона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о соответствии</w:t>
      </w:r>
      <w:r>
        <w:rPr>
          <w:rFonts w:cs="Times New Roman" w:ascii="Times New Roman" w:hAnsi="Times New Roman"/>
          <w:b/>
          <w:sz w:val="24"/>
          <w:szCs w:val="24"/>
        </w:rPr>
        <w:t xml:space="preserve"> заявки требованиям аукционной документации</w:t>
      </w:r>
    </w:p>
    <w:p>
      <w:pPr>
        <w:pStyle w:val="Normal"/>
        <w:tabs>
          <w:tab w:val="clear" w:pos="708"/>
          <w:tab w:val="left" w:pos="6615" w:leader="none"/>
        </w:tabs>
        <w:spacing w:lineRule="auto" w:line="24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919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53"/>
        <w:gridCol w:w="5345"/>
      </w:tblGrid>
      <w:tr>
        <w:trPr/>
        <w:tc>
          <w:tcPr>
            <w:tcW w:w="3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  <w:lang w:eastAsia="ru-RU"/>
              </w:rPr>
              <w:t>Порядковый номер заявки</w:t>
            </w:r>
          </w:p>
        </w:tc>
        <w:tc>
          <w:tcPr>
            <w:tcW w:w="5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  <w:lang w:eastAsia="ru-RU"/>
              </w:rPr>
              <w:t>За принятие решения</w:t>
            </w:r>
          </w:p>
        </w:tc>
      </w:tr>
      <w:tr>
        <w:trPr>
          <w:trHeight w:val="416" w:hRule="atLeast"/>
        </w:trPr>
        <w:tc>
          <w:tcPr>
            <w:tcW w:w="3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8159</w:t>
            </w:r>
          </w:p>
        </w:tc>
        <w:tc>
          <w:tcPr>
            <w:tcW w:w="5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Л.В. Чигирина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О.И. Баранова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А.Н. Овсянников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Н.Г. Ващенко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П.И. Ястребов</w:t>
            </w:r>
          </w:p>
        </w:tc>
      </w:tr>
    </w:tbl>
    <w:p>
      <w:pPr>
        <w:pStyle w:val="Heading1"/>
        <w:numPr>
          <w:ilvl w:val="0"/>
          <w:numId w:val="0"/>
        </w:numPr>
        <w:spacing w:before="0" w:after="0"/>
        <w:ind w:hanging="0" w:star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jc w:val="both"/>
        <w:rPr>
          <w:rFonts w:ascii="Times New Roman" w:hAnsi="Times New Roman" w:cs="Times New Roman"/>
          <w:b w:val="false"/>
          <w:sz w:val="24"/>
          <w:szCs w:val="24"/>
          <w:u w:val="single"/>
        </w:rPr>
      </w:pPr>
      <w:r>
        <w:rPr>
          <w:rFonts w:cs="Times New Roman" w:ascii="Times New Roman" w:hAnsi="Times New Roman"/>
          <w:bCs w:val="false"/>
          <w:sz w:val="24"/>
          <w:szCs w:val="24"/>
        </w:rPr>
        <w:t>8.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Протокол составлен в одном экземпляре и </w:t>
      </w:r>
      <w:r>
        <w:rPr>
          <w:rFonts w:cs="Times New Roman" w:ascii="Times New Roman" w:hAnsi="Times New Roman"/>
          <w:b w:val="false"/>
          <w:sz w:val="24"/>
          <w:szCs w:val="24"/>
        </w:rPr>
        <w:t xml:space="preserve">подлежит размещению в единой информационной системе в сфере закупок </w:t>
      </w:r>
      <w:hyperlink r:id="rId5"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www.zakupki.gov.ru</w:t>
        </w:r>
      </w:hyperlink>
      <w:r>
        <w:rPr>
          <w:rFonts w:cs="Times New Roman" w:ascii="Times New Roman" w:hAnsi="Times New Roman"/>
          <w:b w:val="false"/>
          <w:sz w:val="24"/>
          <w:szCs w:val="24"/>
        </w:rPr>
        <w:t xml:space="preserve">  и на сайте универсальной торговой платформы АО «Сбербанк – АСТ» </w:t>
      </w:r>
      <w:hyperlink r:id="rId6">
        <w:r>
          <w:rPr>
            <w:rStyle w:val="Hyperlink"/>
            <w:rFonts w:cs="Times New Roman" w:ascii="Times New Roman" w:hAnsi="Times New Roman"/>
            <w:b w:val="false"/>
            <w:sz w:val="24"/>
            <w:szCs w:val="24"/>
            <w:u w:val="single"/>
          </w:rPr>
          <w:t>http://utp.sberbank-ast.ru</w:t>
        </w:r>
      </w:hyperlink>
      <w:r>
        <w:rPr>
          <w:rFonts w:cs="Times New Roman" w:ascii="Times New Roman" w:hAnsi="Times New Roman"/>
          <w:b w:val="false"/>
          <w:sz w:val="24"/>
          <w:szCs w:val="24"/>
          <w:u w:val="single"/>
        </w:rPr>
        <w:t>.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tLeast" w:line="240"/>
        <w:jc w:val="both"/>
        <w:outlineLvl w:val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ru-RU"/>
        </w:rPr>
        <w:t>9</w:t>
      </w:r>
      <w:r>
        <w:rPr>
          <w:rFonts w:eastAsia="Times New Roman" w:cs="Times New Roman" w:ascii="Times New Roman" w:hAnsi="Times New Roman"/>
          <w:bCs/>
          <w:kern w:val="2"/>
          <w:sz w:val="24"/>
          <w:szCs w:val="24"/>
          <w:lang w:eastAsia="ru-RU"/>
        </w:rPr>
        <w:t>.</w:t>
      </w:r>
      <w:r>
        <w:rPr>
          <w:rFonts w:eastAsia="Times New Roman" w:cs="Times New Roman" w:ascii="Times New Roman" w:hAnsi="Times New Roman"/>
          <w:b/>
          <w:kern w:val="2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Протокол рассмотрения заявок, поданных на участие в электронном аукционе </w:t>
        <w:br/>
        <w:t>№ 16/2025 подписан присутствующими на заседании членами комиссии: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09"/>
        <w:gridCol w:w="4962"/>
      </w:tblGrid>
      <w:tr>
        <w:trPr>
          <w:trHeight w:val="414" w:hRule="atLeast"/>
        </w:trPr>
        <w:tc>
          <w:tcPr>
            <w:tcW w:w="4609" w:type="dxa"/>
            <w:tcBorders/>
          </w:tcPr>
          <w:p>
            <w:pPr>
              <w:pStyle w:val="Style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Председатель комиссии:</w:t>
            </w:r>
          </w:p>
        </w:tc>
        <w:tc>
          <w:tcPr>
            <w:tcW w:w="4962" w:type="dxa"/>
            <w:tcBorders/>
          </w:tcPr>
          <w:p>
            <w:pPr>
              <w:pStyle w:val="Style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 Л.В. Чигирина</w:t>
            </w:r>
          </w:p>
          <w:p>
            <w:pPr>
              <w:pStyle w:val="Style20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(Подпись)             (Фамилия, Имя, Отчество)</w:t>
            </w:r>
          </w:p>
        </w:tc>
      </w:tr>
      <w:tr>
        <w:trPr>
          <w:trHeight w:val="1393" w:hRule="atLeast"/>
        </w:trPr>
        <w:tc>
          <w:tcPr>
            <w:tcW w:w="4609" w:type="dxa"/>
            <w:tcBorders/>
          </w:tcPr>
          <w:p>
            <w:pPr>
              <w:pStyle w:val="Style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4962" w:type="dxa"/>
            <w:tcBorders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Style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 О.И. Баранова</w:t>
            </w:r>
          </w:p>
          <w:p>
            <w:pPr>
              <w:pStyle w:val="Style20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(Подпись)             (Фамилия, Имя, Отчество)</w:t>
            </w:r>
          </w:p>
          <w:p>
            <w:pPr>
              <w:pStyle w:val="Style2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Style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 А.Н. Овсянников</w:t>
            </w:r>
          </w:p>
          <w:p>
            <w:pPr>
              <w:pStyle w:val="Style20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(Подпись)             (Фамилия, Имя, Отчество)</w:t>
            </w:r>
          </w:p>
          <w:p>
            <w:pPr>
              <w:pStyle w:val="Style20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</w:r>
          </w:p>
          <w:p>
            <w:pPr>
              <w:pStyle w:val="Style20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</w:r>
          </w:p>
          <w:p>
            <w:pPr>
              <w:pStyle w:val="Style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 Н.Г. Ващенко</w:t>
            </w:r>
          </w:p>
          <w:p>
            <w:pPr>
              <w:pStyle w:val="Style20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(Подпись)                  (Фамилия, Имя, Отчество)</w:t>
            </w:r>
          </w:p>
          <w:p>
            <w:pPr>
              <w:pStyle w:val="Style2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Style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 П.И. Ястребов</w:t>
            </w:r>
          </w:p>
          <w:p>
            <w:pPr>
              <w:pStyle w:val="Style20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(Подпись)                  (Фамилия, Имя, Отчество)</w:t>
            </w:r>
          </w:p>
          <w:p>
            <w:pPr>
              <w:pStyle w:val="Style2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>
          <w:trHeight w:val="500" w:hRule="atLeast"/>
        </w:trPr>
        <w:tc>
          <w:tcPr>
            <w:tcW w:w="4609" w:type="dxa"/>
            <w:tcBorders/>
          </w:tcPr>
          <w:p>
            <w:pPr>
              <w:pStyle w:val="Style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Секретарь комиссии:</w:t>
            </w:r>
          </w:p>
        </w:tc>
        <w:tc>
          <w:tcPr>
            <w:tcW w:w="4962" w:type="dxa"/>
            <w:tcBorders/>
          </w:tcPr>
          <w:p>
            <w:pPr>
              <w:pStyle w:val="Style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 Н.Н. Богатырева</w:t>
            </w:r>
          </w:p>
          <w:p>
            <w:pPr>
              <w:pStyle w:val="Style20"/>
              <w:rPr>
                <w:rFonts w:ascii="Times New Roman" w:hAnsi="Times New Roman" w:cs="Times New Roman"/>
                <w:i/>
                <w:i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 xml:space="preserve">           </w:t>
            </w:r>
            <w:r>
              <w:rPr>
                <w:rFonts w:cs="Times New Roman" w:ascii="Times New Roman" w:hAnsi="Times New Roman"/>
                <w:i/>
                <w:sz w:val="16"/>
                <w:szCs w:val="16"/>
              </w:rPr>
              <w:t>(Подпись)                  (Фамилия, Имя, Отчество)</w:t>
            </w:r>
          </w:p>
          <w:p>
            <w:pPr>
              <w:pStyle w:val="Style2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200"/>
        <w:rPr/>
      </w:pPr>
      <w:r>
        <w:rPr>
          <w:rFonts w:cs="Times New Roman" w:ascii="Times New Roman" w:hAnsi="Times New Roman"/>
          <w:i/>
        </w:rPr>
        <w:t>Дата подписания протокола 03.03.2025</w:t>
      </w:r>
    </w:p>
    <w:sectPr>
      <w:footerReference w:type="default" r:id="rId7"/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  <w:fldChar w:fldCharType="begin"/>
    </w:r>
    <w:r>
      <w:rPr>
        <w:sz w:val="24"/>
        <w:szCs w:val="24"/>
        <w:rFonts w:cs="Times New Roman" w:ascii="Times New Roman" w:hAnsi="Times New Roman"/>
      </w:rPr>
      <w:instrText xml:space="preserve"> PAGE </w:instrText>
    </w:r>
    <w:r>
      <w:rPr>
        <w:sz w:val="24"/>
        <w:szCs w:val="24"/>
        <w:rFonts w:cs="Times New Roman" w:ascii="Times New Roman" w:hAnsi="Times New Roman"/>
      </w:rPr>
      <w:fldChar w:fldCharType="separate"/>
    </w:r>
    <w:r>
      <w:rPr>
        <w:sz w:val="24"/>
        <w:szCs w:val="24"/>
        <w:rFonts w:cs="Times New Roman" w:ascii="Times New Roman" w:hAnsi="Times New Roman"/>
      </w:rPr>
      <w:t>3</w:t>
    </w:r>
    <w:r>
      <w:rPr>
        <w:sz w:val="24"/>
        <w:szCs w:val="24"/>
        <w:rFonts w:cs="Times New Roman" w:ascii="Times New Roman" w:hAnsi="Times New Roman"/>
      </w:rPr>
      <w:fldChar w:fldCharType="end"/>
    </w:r>
  </w:p>
  <w:p>
    <w:pPr>
      <w:pStyle w:val="Footer"/>
      <w:spacing w:before="0" w:after="200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432"/>
        </w:tabs>
        <w:ind w:start="432" w:hanging="432"/>
      </w:pPr>
      <w:rPr>
        <w:sz w:val="28"/>
        <w:i w:val="false"/>
        <w:b/>
        <w:szCs w:val="28"/>
        <w:rFonts w:ascii="Times New Roman" w:hAnsi="Times New Roman" w:cs="Times New Roman"/>
      </w:r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>
        <w:sz w:val="28"/>
        <w:i w:val="false"/>
        <w:b w:val="false"/>
        <w:szCs w:val="26"/>
        <w:rFonts w:ascii="Times New Roman" w:hAnsi="Times New Roman" w:cs="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0725"/>
        </w:tabs>
        <w:ind w:start="10725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240" w:after="60"/>
      <w:outlineLvl w:val="0"/>
    </w:pPr>
    <w:rPr>
      <w:rFonts w:ascii="Arial" w:hAnsi="Arial" w:eastAsia="Times New Roman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lineRule="atLeast" w:line="240" w:before="0" w:after="0"/>
      <w:jc w:val="center"/>
      <w:outlineLvl w:val="1"/>
    </w:pPr>
    <w:rPr>
      <w:rFonts w:ascii="Times New Roman" w:hAnsi="Times New Roman" w:eastAsia="Times New Roman" w:cs="Times New Roman"/>
      <w:i/>
      <w:color w:val="000000"/>
      <w:sz w:val="16"/>
      <w:szCs w:val="16"/>
    </w:rPr>
  </w:style>
  <w:style w:type="paragraph" w:styleId="Heading4">
    <w:name w:val="heading 4"/>
    <w:basedOn w:val="Normal"/>
    <w:next w:val="Normal"/>
    <w:qFormat/>
    <w:pPr>
      <w:keepNext w:val="true"/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character" w:styleId="WW8Num1z0">
    <w:name w:val="WW8Num1z0"/>
    <w:qFormat/>
    <w:rPr>
      <w:rFonts w:ascii="Times New Roman" w:hAnsi="Times New Roman" w:cs="Times New Roman"/>
      <w:b/>
      <w:i w:val="false"/>
      <w:sz w:val="28"/>
      <w:szCs w:val="28"/>
    </w:rPr>
  </w:style>
  <w:style w:type="character" w:styleId="WW8Num1z1">
    <w:name w:val="WW8Num1z1"/>
    <w:qFormat/>
    <w:rPr>
      <w:rFonts w:ascii="Times New Roman" w:hAnsi="Times New Roman" w:cs="Times New Roman"/>
      <w:b w:val="false"/>
      <w:i w:val="false"/>
      <w:sz w:val="28"/>
      <w:szCs w:val="26"/>
    </w:rPr>
  </w:style>
  <w:style w:type="character" w:styleId="WW8Num1z2">
    <w:name w:val="WW8Num1z2"/>
    <w:qFormat/>
    <w:rPr/>
  </w:style>
  <w:style w:type="character" w:styleId="Style11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Style12">
    <w:name w:val="Основной текст с отступом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Верхний колонтитул Знак"/>
    <w:qFormat/>
    <w:rPr>
      <w:sz w:val="22"/>
      <w:szCs w:val="22"/>
    </w:rPr>
  </w:style>
  <w:style w:type="character" w:styleId="Style14">
    <w:name w:val="Нижний колонтитул Знак"/>
    <w:qFormat/>
    <w:rPr>
      <w:sz w:val="22"/>
      <w:szCs w:val="22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23z0">
    <w:name w:val="WW8Num23z0"/>
    <w:qFormat/>
    <w:rPr>
      <w:sz w:val="40"/>
      <w:szCs w:val="40"/>
    </w:rPr>
  </w:style>
  <w:style w:type="character" w:styleId="WW8Num9z0">
    <w:name w:val="WW8Num9z0"/>
    <w:qFormat/>
    <w:rPr>
      <w:rFonts w:ascii="Symbol" w:hAnsi="Symbol" w:cs="Symbol"/>
    </w:rPr>
  </w:style>
  <w:style w:type="character" w:styleId="4">
    <w:name w:val="Заголовок 4 Знак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Style16">
    <w:name w:val="Без интервала Знак"/>
    <w:qFormat/>
    <w:rPr>
      <w:sz w:val="22"/>
      <w:szCs w:val="22"/>
    </w:rPr>
  </w:style>
  <w:style w:type="character" w:styleId="Style17">
    <w:name w:val="Стандартный Знак"/>
    <w:qFormat/>
    <w:rPr>
      <w:rFonts w:ascii="Times New Roman" w:hAnsi="Times New Roman" w:cs="Times New Roman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tLeast" w:line="240" w:before="0" w:after="0"/>
      <w:jc w:val="both"/>
    </w:pPr>
    <w:rPr>
      <w:rFonts w:ascii="Times New Roman" w:hAnsi="Times New Roman" w:cs="Times New Roman"/>
      <w:bCs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spacing w:lineRule="auto" w:line="240" w:before="0" w:after="0"/>
      <w:ind w:hanging="0" w:start="5529" w:end="0"/>
      <w:jc w:val="center"/>
    </w:pPr>
    <w:rPr>
      <w:rFonts w:ascii="Times New Roman" w:hAnsi="Times New Roman" w:eastAsia="Times New Roman" w:cs="Times New Roman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ConsPlusCell">
    <w:name w:val="ConsPlusCel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18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Style19">
    <w:name w:val="Абзац списка"/>
    <w:basedOn w:val="Normal"/>
    <w:qFormat/>
    <w:pPr>
      <w:spacing w:lineRule="auto" w:line="254" w:before="0" w:after="160"/>
      <w:ind w:hanging="0" w:start="720" w:end="0"/>
      <w:contextualSpacing/>
    </w:pPr>
    <w:rPr>
      <w:rFonts w:ascii="Calibri" w:hAnsi="Calibri" w:eastAsia="Calibri" w:cs="Times New Roman"/>
    </w:rPr>
  </w:style>
  <w:style w:type="paragraph" w:styleId="Style20">
    <w:name w:val="Без интервала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Style21">
    <w:name w:val="Стандартный"/>
    <w:basedOn w:val="Normal"/>
    <w:qFormat/>
    <w:pPr>
      <w:spacing w:lineRule="auto" w:line="240" w:before="0" w:after="0"/>
      <w:contextualSpacing/>
    </w:pPr>
    <w:rPr>
      <w:rFonts w:ascii="Times New Roman" w:hAnsi="Times New Roman" w:cs="Times New Roman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zakupki@vniikr.ru" TargetMode="External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utp.sberbank-ast.ru/" TargetMode="External"/><Relationship Id="rId5" Type="http://schemas.openxmlformats.org/officeDocument/2006/relationships/hyperlink" Target="http://www.zakupki.gov.ru/" TargetMode="External"/><Relationship Id="rId6" Type="http://schemas.openxmlformats.org/officeDocument/2006/relationships/hyperlink" Target="http://utp.sberbank-ast.ru/" TargetMode="Externa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2025-01-13T11:15:00Z</dcterms:created>
  <dc:creator>HP</dc:creator>
  <dc:description/>
  <cp:keywords/>
  <dc:language>en-US</dc:language>
  <cp:lastModifiedBy>Темный Дмитрий</cp:lastModifiedBy>
  <cp:lastPrinted>2025-02-20T11:18:00Z</cp:lastPrinted>
  <dcterms:modified xsi:type="dcterms:W3CDTF">2025-03-03T08:02:00Z</dcterms:modified>
  <cp:revision>33</cp:revision>
  <dc:subject/>
  <dc:title/>
</cp:coreProperties>
</file>