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  <w:spacing w:after="0"/>
      </w:pPr>
      <w:r>
        <w:rPr>
          <w:b w:val="1"/>
          <w:bCs w:val="1"/>
        </w:rPr>
        <w:t xml:space="preserve">Протокол</w:t>
      </w:r>
    </w:p>
    <w:p>
      <w:pPr>
        <w:jc w:val="center"/>
        <w:spacing w:after="0"/>
      </w:pPr>
      <w:r>
        <w:rPr>
          <w:b w:val="1"/>
          <w:bCs w:val="1"/>
        </w:rPr>
        <w:t xml:space="preserve">подведения итогов процедуры</w:t>
      </w:r>
    </w:p>
    <w:p>
      <w:pPr>
        <w:jc w:val="center"/>
        <w:spacing w:after="0"/>
      </w:pPr>
      <w:r>
        <w:rPr>
          <w:b w:val="1"/>
          <w:bCs w:val="1"/>
        </w:rPr>
        <w:t xml:space="preserve">32514499220</w:t>
      </w:r>
    </w:p>
    <w:tbl>
      <w:tblGrid>
        <w:gridCol w:w="5000" w:type="dxa"/>
        <w:gridCol w:w="5000" w:type="dxa"/>
      </w:tblGrid>
      <w:tr>
        <w:trPr/>
        <w:tc>
          <w:tcPr>
            <w:tcW w:w="5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«03» марта 2025г.</w:t>
            </w:r>
          </w:p>
        </w:tc>
      </w:tr>
    </w:tbl>
    <w:p>
      <w:pPr/>
      <w:r>
        <w:rPr>
          <w:b w:val="1"/>
          <w:bCs w:val="1"/>
        </w:rPr>
        <w:t xml:space="preserve">Организатором является: </w:t>
      </w:r>
      <w:r>
        <w:rPr>
          <w:b w:val="0"/>
          <w:bCs w:val="0"/>
        </w:rPr>
        <w:t xml:space="preserve">ГОСУДАРСТВЕННОЕ АВТОНОМНОЕ УЧРЕЖДЕНИЕ КУЛЬТУРЫ "КУРГАНСКОЕ ОБЛАСТНОЕ МУЗЕЙНОЕ ОБЪЕДИНЕНИЕ"</w:t>
      </w:r>
      <w:br/>
      <w:r>
        <w:rPr>
          <w:b w:val="1"/>
          <w:bCs w:val="1"/>
        </w:rPr>
        <w:t xml:space="preserve">Заказчиком является: </w:t>
      </w:r>
      <w:r>
        <w:rPr>
          <w:b w:val="0"/>
          <w:bCs w:val="0"/>
        </w:rPr>
        <w:t xml:space="preserve">ГОСУДАРСТВЕННОЕ АВТОНОМНОЕ УЧРЕЖДЕНИЕ КУЛЬТУРЫ "КУРГАНСКОЕ ОБЛАСТНОЕ МУЗЕЙНОЕ ОБЪЕДИНЕНИЕ"</w:t>
      </w:r>
    </w:p>
    <w:p/>
    <w:p>
      <w:pPr/>
      <w:r>
        <w:rPr>
          <w:b w:val="1"/>
          <w:bCs w:val="1"/>
        </w:rPr>
        <w:t xml:space="preserve">Способ закупки: </w:t>
      </w:r>
    </w:p>
    <w:p>
      <w:pPr/>
      <w:r>
        <w:rPr>
          <w:b w:val="0"/>
          <w:bCs w:val="0"/>
        </w:rPr>
        <w:t xml:space="preserve">Открытый конкурс в электронной форме</w:t>
      </w:r>
    </w:p>
    <w:p>
      <w:pPr>
        <w:keepLines w:val="1"/>
        <w:spacing w:after="96"/>
        <w:numPr>
          <w:ilvl w:val="0"/>
          <w:numId w:val="4"/>
        </w:numPr>
      </w:pPr>
      <w:r>
        <w:rPr>
          <w:b w:val="1"/>
          <w:bCs w:val="1"/>
        </w:rPr>
        <w:t xml:space="preserve">Наименование процедуры: </w:t>
      </w:r>
      <w:r>
        <w:rPr>
          <w:b w:val="0"/>
          <w:bCs w:val="0"/>
        </w:rPr>
        <w:t xml:space="preserve">Капитальный ремонт помещений здания Курганского областного художественного музея, структурного подразделения ГАУК «Курганское областное музейное объединение», расположенного по адресу: Курганская область, г. Курган, ул. М. Горького, д. 127/4</w:t>
      </w:r>
    </w:p>
    <w:p>
      <w:pPr>
        <w:keepLines w:val="1"/>
        <w:spacing w:after="96"/>
        <w:numPr>
          <w:ilvl w:val="0"/>
          <w:numId w:val="4"/>
        </w:numPr>
      </w:pPr>
      <w:r>
        <w:rPr>
          <w:b w:val="1"/>
          <w:bCs w:val="1"/>
        </w:rPr>
        <w:t xml:space="preserve">Предмет договора лота: </w:t>
      </w:r>
      <w:r>
        <w:rPr>
          <w:b w:val="0"/>
          <w:bCs w:val="0"/>
        </w:rPr>
        <w:t xml:space="preserve">Капитальный ремонт помещений здания Курганского областного художественного музея, структурного подразделения ГАУК «Курганское областное музейное объединение», расположенного по адресу: Курганская область, г. Курган, ул. М. Горького, д. 127/4</w:t>
      </w:r>
    </w:p>
    <w:p>
      <w:pPr>
        <w:keepLines w:val="1"/>
        <w:spacing w:after="96"/>
        <w:numPr>
          <w:ilvl w:val="0"/>
          <w:numId w:val="4"/>
        </w:numPr>
      </w:pPr>
      <w:r>
        <w:rPr>
          <w:b w:val="1"/>
          <w:bCs w:val="1"/>
        </w:rPr>
        <w:t xml:space="preserve">Начальная (максимальная) цена договора, лота: </w:t>
      </w:r>
      <w:r>
        <w:rPr>
          <w:b w:val="0"/>
          <w:bCs w:val="0"/>
        </w:rPr>
        <w:t xml:space="preserve">23 734 750.00 (с учетом НДС) в валюте - Российский рубль</w:t>
      </w:r>
      <w:r>
        <w:rPr>
          <w:b w:val="0"/>
          <w:bCs w:val="0"/>
        </w:rPr>
        <w:t xml:space="preserve"/>
      </w:r>
    </w:p>
    <w:p>
      <w:pPr>
        <w:keepLines w:val="1"/>
        <w:spacing w:after="96"/>
        <w:numPr>
          <w:ilvl w:val="0"/>
          <w:numId w:val="4"/>
        </w:numPr>
      </w:pPr>
      <w:r>
        <w:rPr/>
        <w:t xml:space="preserve">Извещение о проведении настоящей процедуры и документация были размещены «11» февраля 2025г. на сайте АО «Единая электронная торговая площадка» (АО «ЕЭТП»), по адресу в сети «Интернет»: </w:t>
      </w:r>
      <w:hyperlink r:id="rId7" w:history="1">
        <w:r>
          <w:t xml:space="preserve">https://corp.roseltorg.ru</w:t>
        </w:r>
      </w:hyperlink>
    </w:p>
    <w:p>
      <w:pPr>
        <w:keepLines w:val="1"/>
        <w:spacing w:after="96"/>
        <w:numPr>
          <w:ilvl w:val="0"/>
          <w:numId w:val="4"/>
        </w:numPr>
      </w:pPr>
      <w:r>
        <w:rPr/>
        <w:t xml:space="preserve">Были рассмотрены заявки следующих участников процедуры:</w:t>
      </w:r>
    </w:p>
    <w:tbl>
      <w:tblGrid>
        <w:gridCol w:w="1500" w:type="dxa"/>
        <w:gridCol w:w="5000" w:type="dxa"/>
        <w:gridCol w:w="5000" w:type="dxa"/>
        <w:gridCol w:w="5000" w:type="dxa"/>
        <w:gridCol w:w="5000" w:type="dxa"/>
        <w:gridCol w:w="1500" w:type="dxa"/>
      </w:tblGrid>
      <w:tblPr>
        <w:tblStyle w:val="style20053"/>
      </w:tblPr>
      <w:tr>
        <w:trPr>
          <w:cantSplit w:val="1"/>
        </w:trPr>
        <w:tc>
          <w:tcPr>
            <w:tcW w:w="15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№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Наименование участника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Дата и время регистрации заявок (МСК)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Решение о допуске заявки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Основание для решения</w:t>
            </w:r>
          </w:p>
        </w:tc>
        <w:tc>
          <w:tcPr>
            <w:tcW w:w="15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Итоговая оценка</w:t>
            </w:r>
          </w:p>
        </w:tc>
      </w:tr>
      <w:tr>
        <w:trPr>
          <w:cantSplit w:val="1"/>
        </w:trPr>
        <w:tc>
          <w:tcPr>
            <w:tcW w:w="1500" w:type="dxa"/>
          </w:tcPr>
          <w:p>
            <w:pPr>
              <w:jc w:val="center"/>
            </w:pPr>
            <w:r>
              <w:rPr/>
              <w:t xml:space="preserve">1115036787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ОБЩЕСТВО С ОГРАНИЧЕННОЙ ОТВЕТСТВЕННОСТЬЮ "СК КОМФОРТ", 625003, ОБЛАСТЬ ТЮМЕНСКАЯ, Г. ТЮМЕНЬ, УЛ. ЛЕНИНА, Д. 2А, ОФИС 509, ИНН 7203256434, КПП 720301001, ОГРН 1147232068532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20.02.2025 10:51:03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Допущена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Состав документов заявителя соответствует требованиям</w:t>
            </w:r>
          </w:p>
        </w:tc>
        <w:tc>
          <w:tcPr>
            <w:tcW w:w="1500" w:type="dxa"/>
          </w:tcPr>
          <w:p>
            <w:pPr>
              <w:jc w:val="center"/>
            </w:pPr>
            <w:r>
              <w:rPr/>
              <w:t xml:space="preserve"/>
            </w:r>
          </w:p>
        </w:tc>
      </w:tr>
      <w:tr>
        <w:trPr>
          <w:cantSplit w:val="1"/>
        </w:trPr>
        <w:tc>
          <w:tcPr>
            <w:tcW w:w="1500" w:type="dxa"/>
          </w:tcPr>
          <w:p>
            <w:pPr>
              <w:jc w:val="center"/>
            </w:pPr>
            <w:r>
              <w:rPr/>
              <w:t xml:space="preserve">2090790127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ОБЩЕСТВО С ОГРАНИЧЕННОЙ ОТВЕТСТВЕННОСТЬЮ "СТРОЙСФЕРА", 641403, КУРГАНСКАЯ ОБЛАСТЬ ПРИТОБОЛЬНЫЙ, С ОБУХОВО, УЛ ЦЕНТРАЛЬНАЯ, Д. 1, ИНН 4500008742, КПП 450001001, ОГРН 1234500002604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13.02.2025 17:17:04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Допущена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Состав документов заявителя соответствует требованиям</w:t>
            </w:r>
          </w:p>
        </w:tc>
        <w:tc>
          <w:tcPr>
            <w:tcW w:w="1500" w:type="dxa"/>
          </w:tcPr>
          <w:p>
            <w:pPr>
              <w:jc w:val="center"/>
            </w:pPr>
            <w:r>
              <w:rPr/>
              <w:t xml:space="preserve"/>
            </w:r>
          </w:p>
        </w:tc>
      </w:tr>
      <w:tr>
        <w:trPr>
          <w:cantSplit w:val="1"/>
        </w:trPr>
        <w:tc>
          <w:tcPr>
            <w:tcW w:w="1500" w:type="dxa"/>
          </w:tcPr>
          <w:p>
            <w:pPr>
              <w:jc w:val="center"/>
            </w:pPr>
            <w:r>
              <w:rPr/>
              <w:t xml:space="preserve">3634399178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ОБЩЕСТВО С ОГРАНИЧЕННОЙ ОТВЕТСТВЕННОСТЬЮ "СТРОЙЭКСПЕРТ", 640006, Курганская область, Г КУРГАН, УЛ КУЙБЫШЕВА, Д. 114А, ОФИС 4, ИНН 4501206916, КПП 450101001, ОГРН 1164501051571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28.02.2025 06:06:33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Допущена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Состав документов заявителя соответствует требованиям</w:t>
            </w:r>
          </w:p>
        </w:tc>
        <w:tc>
          <w:tcPr>
            <w:tcW w:w="1500" w:type="dxa"/>
          </w:tcPr>
          <w:p>
            <w:pPr>
              <w:jc w:val="center"/>
            </w:pPr>
            <w:r>
              <w:rPr/>
              <w:t xml:space="preserve"/>
            </w:r>
          </w:p>
        </w:tc>
      </w:tr>
    </w:tbl>
    <w:p>
      <w:pPr/>
      <w:r>
        <w:rPr/>
        <w:t xml:space="preserve">Для участия в процедуре было подано 3 заявки от участников, 0 заявок отозвано, место не присвоено 0 заявок.</w:t>
      </w:r>
    </w:p>
    <w:p>
      <w:pPr>
        <w:spacing w:line="120" w:lineRule="auto"/>
      </w:pPr>
      <w:r>
        <w:rPr/>
        <w:t xml:space="preserve"/>
      </w:r>
    </w:p>
    <w:p>
      <w:pPr>
        <w:keepLines w:val="1"/>
        <w:spacing w:after="96"/>
        <w:numPr>
          <w:ilvl w:val="0"/>
          <w:numId w:val="4"/>
        </w:numPr>
      </w:pPr>
      <w:r>
        <w:rPr/>
        <w:t xml:space="preserve">Сопоставление ценовых предложений допущенных участников процедуры:</w:t>
      </w:r>
    </w:p>
    <w:tbl>
      <w:tblGrid>
        <w:gridCol w:w="1600" w:type="dxa"/>
        <w:gridCol w:w="5000" w:type="dxa"/>
        <w:gridCol w:w="5000" w:type="dxa"/>
        <w:gridCol w:w="5000" w:type="dxa"/>
        <w:gridCol w:w="5000" w:type="dxa"/>
      </w:tblGrid>
      <w:tblPr>
        <w:tblStyle w:val="style47777"/>
      </w:tblPr>
      <w:tr>
        <w:trPr>
          <w:cantSplit w:val="1"/>
        </w:trPr>
        <w:tc>
          <w:tcPr>
            <w:tcW w:w="16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Порядковый номер заявки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Наименование участника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Ценовое предложение без НДС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Ценовое предложение с НДС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Ставка НДС</w:t>
            </w:r>
          </w:p>
        </w:tc>
      </w:tr>
      <w:tr>
        <w:trPr>
          <w:cantSplit w:val="1"/>
        </w:trPr>
        <w:tc>
          <w:tcPr>
            <w:tcW w:w="1600" w:type="dxa"/>
          </w:tcPr>
          <w:p>
            <w:pPr>
              <w:jc w:val="center"/>
            </w:pPr>
            <w:r>
              <w:rPr/>
              <w:t xml:space="preserve">1115036787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ОБЩЕСТВО С ОГРАНИЧЕННОЙ ОТВЕТСТВЕННОСТЬЮ "СК КОМФОРТ", 625003, ОБЛАСТЬ ТЮМЕНСКАЯ, Г. ТЮМЕНЬ, УЛ. ЛЕНИНА, Д. 2А, ОФИС 509, ИНН 7203256434, КПП 720301001, ОГРН 1147232068532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19778958.33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23 734 750.00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20%</w:t>
            </w:r>
          </w:p>
        </w:tc>
      </w:tr>
      <w:tr>
        <w:trPr>
          <w:cantSplit w:val="1"/>
        </w:trPr>
        <w:tc>
          <w:tcPr>
            <w:tcW w:w="1600" w:type="dxa"/>
          </w:tcPr>
          <w:p>
            <w:pPr>
              <w:jc w:val="center"/>
            </w:pPr>
            <w:r>
              <w:rPr/>
              <w:t xml:space="preserve">2090790127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ОБЩЕСТВО С ОГРАНИЧЕННОЙ ОТВЕТСТВЕННОСТЬЮ "СТРОЙСФЕРА", 641403, КУРГАНСКАЯ ОБЛАСТЬ ПРИТОБОЛЬНЫЙ, С ОБУХОВО, УЛ ЦЕНТРАЛЬНАЯ, Д. 1, ИНН 4500008742, КПП 450001001, ОГРН 1234500002604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19999990.00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19 999 990.00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Без НДС</w:t>
            </w:r>
          </w:p>
        </w:tc>
      </w:tr>
      <w:tr>
        <w:trPr>
          <w:cantSplit w:val="1"/>
        </w:trPr>
        <w:tc>
          <w:tcPr>
            <w:tcW w:w="1600" w:type="dxa"/>
          </w:tcPr>
          <w:p>
            <w:pPr>
              <w:jc w:val="center"/>
            </w:pPr>
            <w:r>
              <w:rPr/>
              <w:t xml:space="preserve">3634399178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ОБЩЕСТВО С ОГРАНИЧЕННОЙ ОТВЕТСТВЕННОСТЬЮ "СТРОЙЭКСПЕРТ", 640006, Курганская область, Г КУРГАН, УЛ КУЙБЫШЕВА, Д. 114А, ОФИС 4, ИНН 4501206916, КПП 450101001, ОГРН 1164501051571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19778958.33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23 734 750.00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20%</w:t>
            </w:r>
          </w:p>
        </w:tc>
      </w:tr>
    </w:tbl>
    <w:p>
      <w:pPr>
        <w:spacing w:line="120" w:lineRule="auto"/>
      </w:pPr>
      <w:r>
        <w:rPr/>
        <w:t xml:space="preserve"/>
      </w:r>
    </w:p>
    <w:p>
      <w:pPr>
        <w:keepLines w:val="1"/>
        <w:spacing w:after="96"/>
        <w:numPr>
          <w:ilvl w:val="0"/>
          <w:numId w:val="4"/>
        </w:numPr>
      </w:pPr>
      <w:r>
        <w:rPr/>
        <w:t xml:space="preserve">Комиссия рассмотрела заявки участников, а также содержащиеся в реестре участников процедур, получивших аккредитацию на электронной площадке, сведения об участниках, подавших данные заявки, и приняла следующее решение:</w:t>
      </w:r>
    </w:p>
    <w:tbl>
      <w:tblGrid>
        <w:gridCol w:w="1600" w:type="dxa"/>
        <w:gridCol w:w="5000" w:type="dxa"/>
        <w:gridCol w:w="1600" w:type="dxa"/>
        <w:gridCol w:w="1600" w:type="dxa"/>
        <w:gridCol w:w="1600" w:type="dxa"/>
        <w:gridCol w:w="1600" w:type="dxa"/>
      </w:tblGrid>
      <w:tblPr>
        <w:tblStyle w:val="style13750"/>
      </w:tblPr>
      <w:tr>
        <w:trPr>
          <w:cantSplit w:val="1"/>
        </w:trPr>
        <w:tc>
          <w:tcPr>
            <w:tcW w:w="16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Порядковый номер заявки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Наименование участника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Ценовое предложение без НДС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Ценовое предложение с НДС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Ставка НДС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Место заявки</w:t>
            </w:r>
          </w:p>
        </w:tc>
      </w:tr>
      <w:tr>
        <w:trPr>
          <w:cantSplit w:val="1"/>
        </w:trPr>
        <w:tc>
          <w:tcPr>
            <w:tcW w:w="1600" w:type="dxa"/>
          </w:tcPr>
          <w:p>
            <w:pPr>
              <w:jc w:val="center"/>
            </w:pPr>
            <w:r>
              <w:rPr/>
              <w:t xml:space="preserve">1115036787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ОБЩЕСТВО С ОГРАНИЧЕННОЙ ОТВЕТСТВЕННОСТЬЮ "СК КОМФОРТ", 625003, ОБЛАСТЬ ТЮМЕНСКАЯ, Г. ТЮМЕНЬ, УЛ. ЛЕНИНА, Д. 2А, ОФИС 509, ИНН 7203256434, КПП 720301001, ОГРН 1147232068532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/>
              <w:t xml:space="preserve">19778958.33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/>
              <w:t xml:space="preserve">23 734 750.00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/>
              <w:t xml:space="preserve">20%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/>
              <w:t xml:space="preserve">2</w:t>
            </w:r>
          </w:p>
        </w:tc>
      </w:tr>
      <w:tr>
        <w:trPr>
          <w:cantSplit w:val="1"/>
        </w:trPr>
        <w:tc>
          <w:tcPr>
            <w:tcW w:w="1600" w:type="dxa"/>
          </w:tcPr>
          <w:p>
            <w:pPr>
              <w:jc w:val="center"/>
            </w:pPr>
            <w:r>
              <w:rPr/>
              <w:t xml:space="preserve">2090790127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ОБЩЕСТВО С ОГРАНИЧЕННОЙ ОТВЕТСТВЕННОСТЬЮ "СТРОЙСФЕРА", 641403, КУРГАНСКАЯ ОБЛАСТЬ ПРИТОБОЛЬНЫЙ, С ОБУХОВО, УЛ ЦЕНТРАЛЬНАЯ, Д. 1, ИНН 4500008742, КПП 450001001, ОГРН 1234500002604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/>
              <w:t xml:space="preserve">19999990.00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/>
              <w:t xml:space="preserve">19 999 990.00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/>
              <w:t xml:space="preserve">Без НДС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/>
              <w:t xml:space="preserve">3</w:t>
            </w:r>
          </w:p>
        </w:tc>
      </w:tr>
      <w:tr>
        <w:trPr>
          <w:cantSplit w:val="1"/>
        </w:trPr>
        <w:tc>
          <w:tcPr>
            <w:tcW w:w="1600" w:type="dxa"/>
          </w:tcPr>
          <w:p>
            <w:pPr>
              <w:jc w:val="center"/>
            </w:pPr>
            <w:r>
              <w:rPr/>
              <w:t xml:space="preserve">3634399178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ОБЩЕСТВО С ОГРАНИЧЕННОЙ ОТВЕТСТВЕННОСТЬЮ "СТРОЙЭКСПЕРТ", 640006, Курганская область, Г КУРГАН, УЛ КУЙБЫШЕВА, Д. 114А, ОФИС 4, ИНН 4501206916, КПП 450101001, ОГРН 1164501051571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/>
              <w:t xml:space="preserve">19778958.33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/>
              <w:t xml:space="preserve">23 734 750.00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/>
              <w:t xml:space="preserve">20%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/>
              <w:t xml:space="preserve">1</w:t>
            </w:r>
          </w:p>
        </w:tc>
      </w:tr>
    </w:tbl>
    <w:p>
      <w:pPr>
        <w:spacing w:line="120" w:lineRule="auto"/>
      </w:pPr>
      <w:r>
        <w:rPr/>
        <w:t xml:space="preserve"/>
      </w:r>
    </w:p>
    <w:p>
      <w:pPr>
        <w:keepLines w:val="1"/>
        <w:spacing w:after="96"/>
        <w:numPr>
          <w:ilvl w:val="0"/>
          <w:numId w:val="4"/>
        </w:numPr>
      </w:pPr>
      <w:r>
        <w:rPr/>
        <w:t xml:space="preserve">Сведения о решении членов комиссии по каждой заявке: Единая комиссия</w:t>
      </w:r>
    </w:p>
    <w:p>
      <w:pPr/>
      <w:r>
        <w:rPr>
          <w:b w:val="1"/>
          <w:bCs w:val="1"/>
        </w:rPr>
        <w:t xml:space="preserve">Заявка № (ОБЩЕСТВО С ОГРАНИЧЕННОЙ ОТВЕТСТВЕННОСТЬЮ "СК КОМФОРТ")</w:t>
      </w:r>
    </w:p>
    <w:tbl>
      <w:tblGrid>
        <w:gridCol w:w="5000" w:type="dxa"/>
        <w:gridCol w:w="5000" w:type="dxa"/>
      </w:tblGrid>
      <w:tblPr>
        <w:tblStyle w:val="style82562"/>
      </w:tblPr>
      <w:tr>
        <w:trPr>
          <w:cantSplit w:val="1"/>
        </w:trPr>
        <w:tc>
          <w:tcPr>
            <w:tcW w:w="5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Член комиссии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Решение</w:t>
            </w:r>
          </w:p>
        </w:tc>
      </w:tr>
      <w:tr>
        <w:trPr>
          <w:cantSplit w:val="1"/>
        </w:trPr>
        <w:tc>
          <w:tcPr>
            <w:tcW w:w="5000" w:type="dxa"/>
          </w:tcPr>
          <w:p>
            <w:pPr>
              <w:jc w:val="center"/>
            </w:pPr>
            <w:r>
              <w:rPr/>
              <w:t xml:space="preserve">Федякова Татьяна Вадимовна (Член комиссии)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2 место</w:t>
            </w:r>
          </w:p>
        </w:tc>
      </w:tr>
      <w:tr>
        <w:trPr>
          <w:cantSplit w:val="1"/>
        </w:trPr>
        <w:tc>
          <w:tcPr>
            <w:tcW w:w="5000" w:type="dxa"/>
          </w:tcPr>
          <w:p>
            <w:pPr>
              <w:jc w:val="center"/>
            </w:pPr>
            <w:r>
              <w:rPr/>
              <w:t xml:space="preserve">Першин Андрей Александрович (Председатель комиссии)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2 место</w:t>
            </w:r>
          </w:p>
        </w:tc>
      </w:tr>
      <w:tr>
        <w:trPr>
          <w:cantSplit w:val="1"/>
        </w:trPr>
        <w:tc>
          <w:tcPr>
            <w:tcW w:w="5000" w:type="dxa"/>
          </w:tcPr>
          <w:p>
            <w:pPr>
              <w:jc w:val="center"/>
            </w:pPr>
            <w:r>
              <w:rPr/>
              <w:t xml:space="preserve">Евдокимов Игорь Александрович (Зам. председателя комиссии)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2 место</w:t>
            </w:r>
          </w:p>
        </w:tc>
      </w:tr>
      <w:tr>
        <w:trPr>
          <w:cantSplit w:val="1"/>
        </w:trPr>
        <w:tc>
          <w:tcPr>
            <w:tcW w:w="5000" w:type="dxa"/>
          </w:tcPr>
          <w:p>
            <w:pPr>
              <w:jc w:val="center"/>
            </w:pPr>
            <w:r>
              <w:rPr/>
              <w:t xml:space="preserve">Ануфриева Елена Александровна (Член комиссии)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2 место</w:t>
            </w:r>
          </w:p>
        </w:tc>
      </w:tr>
      <w:tr>
        <w:trPr>
          <w:cantSplit w:val="1"/>
        </w:trPr>
        <w:tc>
          <w:tcPr>
            <w:tcW w:w="5000" w:type="dxa"/>
          </w:tcPr>
          <w:p>
            <w:pPr>
              <w:jc w:val="center"/>
            </w:pPr>
            <w:r>
              <w:rPr/>
              <w:t xml:space="preserve">Казыдуб Валерий Николаевич (Член комиссии)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2 место</w:t>
            </w:r>
          </w:p>
        </w:tc>
      </w:tr>
      <w:tr>
        <w:trPr>
          <w:cantSplit w:val="1"/>
        </w:trPr>
        <w:tc>
          <w:tcPr>
            <w:tcW w:w="5000" w:type="dxa"/>
          </w:tcPr>
          <w:p>
            <w:pPr>
              <w:jc w:val="center"/>
            </w:pPr>
            <w:r>
              <w:rPr/>
              <w:t xml:space="preserve">Тершукова Екатерина Владимировна (Член комиссии)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2 место</w:t>
            </w:r>
          </w:p>
        </w:tc>
      </w:tr>
    </w:tbl>
    <w:p>
      <w:pPr>
        <w:spacing w:line="120" w:lineRule="auto"/>
      </w:pPr>
      <w:r>
        <w:rPr/>
        <w:t xml:space="preserve"/>
      </w:r>
    </w:p>
    <w:p>
      <w:pPr/>
      <w:r>
        <w:rPr>
          <w:b w:val="1"/>
          <w:bCs w:val="1"/>
        </w:rPr>
        <w:t xml:space="preserve">Заявка № (ОБЩЕСТВО С ОГРАНИЧЕННОЙ ОТВЕТСТВЕННОСТЬЮ "СТРОЙСФЕРА")</w:t>
      </w:r>
    </w:p>
    <w:tbl>
      <w:tblGrid>
        <w:gridCol w:w="5000" w:type="dxa"/>
        <w:gridCol w:w="5000" w:type="dxa"/>
      </w:tblGrid>
      <w:tblPr>
        <w:tblStyle w:val="style59755"/>
      </w:tblPr>
      <w:tr>
        <w:trPr>
          <w:cantSplit w:val="1"/>
        </w:trPr>
        <w:tc>
          <w:tcPr>
            <w:tcW w:w="5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Член комиссии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Решение</w:t>
            </w:r>
          </w:p>
        </w:tc>
      </w:tr>
      <w:tr>
        <w:trPr>
          <w:cantSplit w:val="1"/>
        </w:trPr>
        <w:tc>
          <w:tcPr>
            <w:tcW w:w="5000" w:type="dxa"/>
          </w:tcPr>
          <w:p>
            <w:pPr>
              <w:jc w:val="center"/>
            </w:pPr>
            <w:r>
              <w:rPr/>
              <w:t xml:space="preserve">Федякова Татьяна Вадимовна (Член комиссии)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3 место</w:t>
            </w:r>
          </w:p>
        </w:tc>
      </w:tr>
      <w:tr>
        <w:trPr>
          <w:cantSplit w:val="1"/>
        </w:trPr>
        <w:tc>
          <w:tcPr>
            <w:tcW w:w="5000" w:type="dxa"/>
          </w:tcPr>
          <w:p>
            <w:pPr>
              <w:jc w:val="center"/>
            </w:pPr>
            <w:r>
              <w:rPr/>
              <w:t xml:space="preserve">Першин Андрей Александрович (Председатель комиссии)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3 место</w:t>
            </w:r>
          </w:p>
        </w:tc>
      </w:tr>
      <w:tr>
        <w:trPr>
          <w:cantSplit w:val="1"/>
        </w:trPr>
        <w:tc>
          <w:tcPr>
            <w:tcW w:w="5000" w:type="dxa"/>
          </w:tcPr>
          <w:p>
            <w:pPr>
              <w:jc w:val="center"/>
            </w:pPr>
            <w:r>
              <w:rPr/>
              <w:t xml:space="preserve">Евдокимов Игорь Александрович (Зам. председателя комиссии)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3 место</w:t>
            </w:r>
          </w:p>
        </w:tc>
      </w:tr>
      <w:tr>
        <w:trPr>
          <w:cantSplit w:val="1"/>
        </w:trPr>
        <w:tc>
          <w:tcPr>
            <w:tcW w:w="5000" w:type="dxa"/>
          </w:tcPr>
          <w:p>
            <w:pPr>
              <w:jc w:val="center"/>
            </w:pPr>
            <w:r>
              <w:rPr/>
              <w:t xml:space="preserve">Ануфриева Елена Александровна (Член комиссии)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3 место</w:t>
            </w:r>
          </w:p>
        </w:tc>
      </w:tr>
      <w:tr>
        <w:trPr>
          <w:cantSplit w:val="1"/>
        </w:trPr>
        <w:tc>
          <w:tcPr>
            <w:tcW w:w="5000" w:type="dxa"/>
          </w:tcPr>
          <w:p>
            <w:pPr>
              <w:jc w:val="center"/>
            </w:pPr>
            <w:r>
              <w:rPr/>
              <w:t xml:space="preserve">Казыдуб Валерий Николаевич (Член комиссии)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3 место</w:t>
            </w:r>
          </w:p>
        </w:tc>
      </w:tr>
      <w:tr>
        <w:trPr>
          <w:cantSplit w:val="1"/>
        </w:trPr>
        <w:tc>
          <w:tcPr>
            <w:tcW w:w="5000" w:type="dxa"/>
          </w:tcPr>
          <w:p>
            <w:pPr>
              <w:jc w:val="center"/>
            </w:pPr>
            <w:r>
              <w:rPr/>
              <w:t xml:space="preserve">Тершукова Екатерина Владимировна (Член комиссии)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3 место</w:t>
            </w:r>
          </w:p>
        </w:tc>
      </w:tr>
    </w:tbl>
    <w:p>
      <w:pPr>
        <w:spacing w:line="120" w:lineRule="auto"/>
      </w:pPr>
      <w:r>
        <w:rPr/>
        <w:t xml:space="preserve"/>
      </w:r>
    </w:p>
    <w:p>
      <w:pPr/>
      <w:r>
        <w:rPr>
          <w:b w:val="1"/>
          <w:bCs w:val="1"/>
        </w:rPr>
        <w:t xml:space="preserve">Заявка № (ОБЩЕСТВО С ОГРАНИЧЕННОЙ ОТВЕТСТВЕННОСТЬЮ "СТРОЙЭКСПЕРТ")</w:t>
      </w:r>
    </w:p>
    <w:tbl>
      <w:tblGrid>
        <w:gridCol w:w="5000" w:type="dxa"/>
        <w:gridCol w:w="5000" w:type="dxa"/>
      </w:tblGrid>
      <w:tblPr>
        <w:tblStyle w:val="style36256"/>
      </w:tblPr>
      <w:tr>
        <w:trPr>
          <w:cantSplit w:val="1"/>
        </w:trPr>
        <w:tc>
          <w:tcPr>
            <w:tcW w:w="5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Член комиссии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Решение</w:t>
            </w:r>
          </w:p>
        </w:tc>
      </w:tr>
      <w:tr>
        <w:trPr>
          <w:cantSplit w:val="1"/>
        </w:trPr>
        <w:tc>
          <w:tcPr>
            <w:tcW w:w="5000" w:type="dxa"/>
          </w:tcPr>
          <w:p>
            <w:pPr>
              <w:jc w:val="center"/>
            </w:pPr>
            <w:r>
              <w:rPr/>
              <w:t xml:space="preserve">Федякова Татьяна Вадимовна (Член комиссии)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1 место</w:t>
            </w:r>
          </w:p>
        </w:tc>
      </w:tr>
      <w:tr>
        <w:trPr>
          <w:cantSplit w:val="1"/>
        </w:trPr>
        <w:tc>
          <w:tcPr>
            <w:tcW w:w="5000" w:type="dxa"/>
          </w:tcPr>
          <w:p>
            <w:pPr>
              <w:jc w:val="center"/>
            </w:pPr>
            <w:r>
              <w:rPr/>
              <w:t xml:space="preserve">Першин Андрей Александрович (Председатель комиссии)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1 место</w:t>
            </w:r>
          </w:p>
        </w:tc>
      </w:tr>
      <w:tr>
        <w:trPr>
          <w:cantSplit w:val="1"/>
        </w:trPr>
        <w:tc>
          <w:tcPr>
            <w:tcW w:w="5000" w:type="dxa"/>
          </w:tcPr>
          <w:p>
            <w:pPr>
              <w:jc w:val="center"/>
            </w:pPr>
            <w:r>
              <w:rPr/>
              <w:t xml:space="preserve">Евдокимов Игорь Александрович (Зам. председателя комиссии)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1 место</w:t>
            </w:r>
          </w:p>
        </w:tc>
      </w:tr>
      <w:tr>
        <w:trPr>
          <w:cantSplit w:val="1"/>
        </w:trPr>
        <w:tc>
          <w:tcPr>
            <w:tcW w:w="5000" w:type="dxa"/>
          </w:tcPr>
          <w:p>
            <w:pPr>
              <w:jc w:val="center"/>
            </w:pPr>
            <w:r>
              <w:rPr/>
              <w:t xml:space="preserve">Ануфриева Елена Александровна (Член комиссии)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1 место</w:t>
            </w:r>
          </w:p>
        </w:tc>
      </w:tr>
      <w:tr>
        <w:trPr>
          <w:cantSplit w:val="1"/>
        </w:trPr>
        <w:tc>
          <w:tcPr>
            <w:tcW w:w="5000" w:type="dxa"/>
          </w:tcPr>
          <w:p>
            <w:pPr>
              <w:jc w:val="center"/>
            </w:pPr>
            <w:r>
              <w:rPr/>
              <w:t xml:space="preserve">Казыдуб Валерий Николаевич (Член комиссии)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1 место</w:t>
            </w:r>
          </w:p>
        </w:tc>
      </w:tr>
      <w:tr>
        <w:trPr>
          <w:cantSplit w:val="1"/>
        </w:trPr>
        <w:tc>
          <w:tcPr>
            <w:tcW w:w="5000" w:type="dxa"/>
          </w:tcPr>
          <w:p>
            <w:pPr>
              <w:jc w:val="center"/>
            </w:pPr>
            <w:r>
              <w:rPr/>
              <w:t xml:space="preserve">Тершукова Екатерина Владимировна (Член комиссии)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1 место</w:t>
            </w:r>
          </w:p>
        </w:tc>
      </w:tr>
    </w:tbl>
    <w:p>
      <w:pPr>
        <w:spacing w:line="120" w:lineRule="auto"/>
      </w:pPr>
      <w:r>
        <w:rPr/>
        <w:t xml:space="preserve"/>
      </w:r>
    </w:p>
    <w:p>
      <w:pPr>
        <w:keepLines w:val="1"/>
        <w:spacing w:after="96"/>
        <w:numPr>
          <w:ilvl w:val="0"/>
          <w:numId w:val="4"/>
        </w:numPr>
      </w:pPr>
      <w:r>
        <w:rPr/>
        <w:t xml:space="preserve">По результатам подведения итогов принято решение заключить договор с ОБЩЕСТВО С ОГРАНИЧЕННОЙ ОТВЕТСТВЕННОСТЬЮ "СТРОЙЭКСПЕРТ"</w:t>
      </w:r>
    </w:p>
    <w:p>
      <w:pPr>
        <w:keepLines w:val="1"/>
        <w:spacing w:after="96"/>
        <w:numPr>
          <w:ilvl w:val="0"/>
          <w:numId w:val="4"/>
        </w:numPr>
      </w:pPr>
      <w:r>
        <w:rPr/>
        <w:t xml:space="preserve">Договор заключается на условиях, предусмотренных документацией о проведении процедуры, по начальной цене договора, указанной в извещении о проведении процедуры, или по цене договора, согласованной с участником процедуры.</w:t>
      </w:r>
    </w:p>
    <w:p>
      <w:pPr>
        <w:keepLines w:val="1"/>
        <w:spacing w:after="96"/>
        <w:numPr>
          <w:ilvl w:val="0"/>
          <w:numId w:val="4"/>
        </w:numPr>
      </w:pPr>
      <w:r>
        <w:rPr/>
        <w:t xml:space="preserve">Протокол подведения итогов будет размещен на сайте Единой информационной системы в сфере закупок (ЕИС) по адресу в сети «Интернет»: http://zakupki.gov.ru и на сайте АО «Единая электронная торговая площадка» (АО «ЕЭТП») по адресу в сети «Интернет»: </w:t>
      </w:r>
      <w:hyperlink r:id="rId7" w:history="1">
        <w:r>
          <w:t xml:space="preserve">https://corp.roseltorg.ru</w:t>
        </w:r>
      </w:hyperlink>
      <w:r>
        <w:rPr/>
        <w:t xml:space="preserve"> в сроки, предусмотренные №223-ФЗ и действующим Положением о закупках.</w:t>
      </w:r>
    </w:p>
    <w:p>
      <w:pPr/>
      <w:r>
        <w:rPr>
          <w:b w:val="1"/>
          <w:bCs w:val="1"/>
        </w:rPr>
        <w:t xml:space="preserve">     Члены комиссии, присутствующие на заседании:</w:t>
      </w:r>
    </w:p>
    <w:tbl>
      <w:tblGrid>
        <w:gridCol w:w="5000" w:type="dxa"/>
        <w:gridCol w:w="5000" w:type="dxa"/>
        <w:gridCol w:w="5000" w:type="dxa"/>
      </w:tblGrid>
      <w:tblPr>
        <w:tblStyle w:val="style41624"/>
      </w:tblPr>
      <w:tr>
        <w:trPr>
          <w:cantSplit w:val="1"/>
        </w:trPr>
        <w:tc>
          <w:tcPr>
            <w:tcW w:w="5000" w:type="dxa"/>
            <w:vAlign w:val="bottom"/>
          </w:tcPr>
          <w:p>
            <w:pPr>
              <w:jc w:val="center"/>
              <w:spacing w:after="0"/>
            </w:pPr>
            <w:r>
              <w:rPr/>
              <w:t xml:space="preserve">Член комиссии</w:t>
            </w:r>
          </w:p>
        </w:tc>
        <w:tc>
          <w:tcPr>
            <w:tcW w:w="5000" w:type="dxa"/>
            <w:tcBorders>
              <w:bottom w:val="single" w:sz="1" w:color="000000"/>
            </w:tcBorders>
          </w:tcPr>
          <w:p>
            <w:pPr>
              <w:jc w:val="center"/>
              <w:spacing w:after="0"/>
            </w:pPr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center"/>
              <w:spacing w:after="0"/>
            </w:pPr>
            <w:r>
              <w:rPr/>
              <w:t xml:space="preserve">Федякова Татьяна Вадимовна</w:t>
            </w:r>
          </w:p>
        </w:tc>
      </w:tr>
      <w:tr>
        <w:trPr>
          <w:cantSplit w:val="1"/>
        </w:trPr>
        <w:tc>
          <w:tcPr>
            <w:tcW w:w="5000" w:type="dxa"/>
            <w:vAlign w:val="bottom"/>
          </w:tcPr>
          <w:p>
            <w:pPr>
              <w:jc w:val="center"/>
              <w:spacing w:after="0"/>
            </w:pPr>
            <w:r>
              <w:rPr/>
              <w:t xml:space="preserve">Председатель комиссии</w:t>
            </w:r>
          </w:p>
        </w:tc>
        <w:tc>
          <w:tcPr>
            <w:tcW w:w="5000" w:type="dxa"/>
            <w:tcBorders>
              <w:bottom w:val="single" w:sz="1" w:color="000000"/>
            </w:tcBorders>
          </w:tcPr>
          <w:p>
            <w:pPr>
              <w:jc w:val="center"/>
              <w:spacing w:after="0"/>
            </w:pPr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center"/>
              <w:spacing w:after="0"/>
            </w:pPr>
            <w:r>
              <w:rPr/>
              <w:t xml:space="preserve">Першин Андрей Александрович</w:t>
            </w:r>
          </w:p>
        </w:tc>
      </w:tr>
      <w:tr>
        <w:trPr>
          <w:cantSplit w:val="1"/>
        </w:trPr>
        <w:tc>
          <w:tcPr>
            <w:tcW w:w="5000" w:type="dxa"/>
            <w:vAlign w:val="bottom"/>
          </w:tcPr>
          <w:p>
            <w:pPr>
              <w:jc w:val="center"/>
              <w:spacing w:after="0"/>
            </w:pPr>
            <w:r>
              <w:rPr/>
              <w:t xml:space="preserve">Зам. председателя комиссии</w:t>
            </w:r>
          </w:p>
        </w:tc>
        <w:tc>
          <w:tcPr>
            <w:tcW w:w="5000" w:type="dxa"/>
            <w:tcBorders>
              <w:bottom w:val="single" w:sz="1" w:color="000000"/>
            </w:tcBorders>
          </w:tcPr>
          <w:p>
            <w:pPr>
              <w:jc w:val="center"/>
              <w:spacing w:after="0"/>
            </w:pPr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center"/>
              <w:spacing w:after="0"/>
            </w:pPr>
            <w:r>
              <w:rPr/>
              <w:t xml:space="preserve">Евдокимов Игорь Александрович</w:t>
            </w:r>
          </w:p>
        </w:tc>
      </w:tr>
      <w:tr>
        <w:trPr>
          <w:cantSplit w:val="1"/>
        </w:trPr>
        <w:tc>
          <w:tcPr>
            <w:tcW w:w="5000" w:type="dxa"/>
            <w:vAlign w:val="bottom"/>
          </w:tcPr>
          <w:p>
            <w:pPr>
              <w:jc w:val="center"/>
              <w:spacing w:after="0"/>
            </w:pPr>
            <w:r>
              <w:rPr/>
              <w:t xml:space="preserve">Член комиссии</w:t>
            </w:r>
          </w:p>
        </w:tc>
        <w:tc>
          <w:tcPr>
            <w:tcW w:w="5000" w:type="dxa"/>
            <w:tcBorders>
              <w:bottom w:val="single" w:sz="1" w:color="000000"/>
            </w:tcBorders>
          </w:tcPr>
          <w:p>
            <w:pPr>
              <w:jc w:val="center"/>
              <w:spacing w:after="0"/>
            </w:pPr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center"/>
              <w:spacing w:after="0"/>
            </w:pPr>
            <w:r>
              <w:rPr/>
              <w:t xml:space="preserve">Ануфриева Елена Александровна</w:t>
            </w:r>
          </w:p>
        </w:tc>
      </w:tr>
      <w:tr>
        <w:trPr>
          <w:cantSplit w:val="1"/>
        </w:trPr>
        <w:tc>
          <w:tcPr>
            <w:tcW w:w="5000" w:type="dxa"/>
            <w:vAlign w:val="bottom"/>
          </w:tcPr>
          <w:p>
            <w:pPr>
              <w:jc w:val="center"/>
              <w:spacing w:after="0"/>
            </w:pPr>
            <w:r>
              <w:rPr/>
              <w:t xml:space="preserve">Член комиссии</w:t>
            </w:r>
          </w:p>
        </w:tc>
        <w:tc>
          <w:tcPr>
            <w:tcW w:w="5000" w:type="dxa"/>
            <w:tcBorders>
              <w:bottom w:val="single" w:sz="1" w:color="000000"/>
            </w:tcBorders>
          </w:tcPr>
          <w:p>
            <w:pPr>
              <w:jc w:val="center"/>
              <w:spacing w:after="0"/>
            </w:pPr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center"/>
              <w:spacing w:after="0"/>
            </w:pPr>
            <w:r>
              <w:rPr/>
              <w:t xml:space="preserve">Казыдуб Валерий Николаевич</w:t>
            </w:r>
          </w:p>
        </w:tc>
      </w:tr>
      <w:tr>
        <w:trPr>
          <w:cantSplit w:val="1"/>
        </w:trPr>
        <w:tc>
          <w:tcPr>
            <w:tcW w:w="5000" w:type="dxa"/>
            <w:vAlign w:val="bottom"/>
          </w:tcPr>
          <w:p>
            <w:pPr>
              <w:jc w:val="center"/>
              <w:spacing w:after="0"/>
            </w:pPr>
            <w:r>
              <w:rPr/>
              <w:t xml:space="preserve">Член комиссии</w:t>
            </w:r>
          </w:p>
        </w:tc>
        <w:tc>
          <w:tcPr>
            <w:tcW w:w="5000" w:type="dxa"/>
            <w:tcBorders>
              <w:bottom w:val="single" w:sz="1" w:color="000000"/>
            </w:tcBorders>
          </w:tcPr>
          <w:p>
            <w:pPr>
              <w:jc w:val="center"/>
              <w:spacing w:after="0"/>
            </w:pPr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center"/>
              <w:spacing w:after="0"/>
            </w:pPr>
            <w:r>
              <w:rPr/>
              <w:t xml:space="preserve">Тершукова Екатерина Владимировна</w:t>
            </w:r>
          </w:p>
        </w:tc>
      </w:tr>
    </w:tbl>
    <w:sectPr>
      <w:footerReference w:type="default" r:id="rId8"/>
      <w:pgSz w:orient="portrait" w:w="11905.511811023622" w:h="16837.79527559055"/>
      <w:pgMar w:top="1440" w:right="566.9291338582676" w:bottom="1440" w:left="1417.3228346456694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Grid>
      <w:gridCol w:w="8503.937007874016" w:type="dxa"/>
      <w:gridCol w:w="1417.3228346456694" w:type="dxa"/>
    </w:tblGrid>
    <w:tblPr>
      <w:tblW w:w="0" w:type="auto"/>
      <w:tblLayout w:type="autofit"/>
      <w:bidiVisual w:val="0"/>
      <w:tblCellMar>
        <w:top w:w="0" w:type="dxa"/>
        <w:left w:w="0" w:type="dxa"/>
        <w:right w:w="0" w:type="dxa"/>
        <w:bottom w:w="0" w:type="dxa"/>
      </w:tblCellMar>
      <w:tblBorders>
        <w:top w:val="single" w:sz="2" w:color="555555"/>
      </w:tblBorders>
    </w:tblPr>
    <w:tr>
      <w:trPr/>
      <w:tc>
        <w:tcPr>
          <w:tcW w:w="8503.937007874016" w:type="dxa"/>
        </w:tcPr>
        <w:p>
          <w:pPr>
            <w:jc w:val="left"/>
          </w:pPr>
          <w:r>
            <w:rPr/>
            <w:t xml:space="preserve">Протокол подведения итогов процедуры №32514499220 от 03.03.2025г.</w:t>
          </w:r>
        </w:p>
      </w:tc>
      <w:tc>
        <w:tcPr>
          <w:tcW w:w="1417.3228346456694" w:type="dxa"/>
        </w:tcPr>
        <w:p>
          <w:pPr>
            <w:jc w:val="right"/>
          </w:pPr>
          <w:r>
            <w:t xml:space="preserve">стр. </w:t>
          </w: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  <w:r>
            <w:t xml:space="preserve"> из </w:t>
          </w:r>
          <w:r>
            <w:fldChar w:fldCharType="begin"/>
          </w:r>
          <w:r>
            <w:instrText xml:space="preserve">NUMPAGES</w:instrText>
          </w:r>
          <w:r>
            <w:fldChar w:fldCharType="separate"/>
          </w:r>
          <w:r>
            <w:fldChar w:fldCharType="end"/>
          </w:r>
        </w:p>
      </w:tc>
    </w:tr>
  </w:tbl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nsid w:val="69F324A4"/>
    <w:multiLevelType w:val="hybridMultilevel"/>
    <w:lvl w:ilvl="0">
      <w:start w:val="1"/>
      <w:numFmt w:val="bullet"/>
      <w:suff w:val="tab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suff w:val="tab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suff w:val="tab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suff w:val="tab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suff w:val="tab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suff w:val="tab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nsid w:val="0B21BAD2"/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360"/>
        </w:tabs>
        <w:ind w:left="360" w:hanging="360"/>
      </w:pPr>
      <w:rPr>
        <w:rFonts w:ascii="" w:hAnsi="" w:cs=""/>
      </w:rPr>
    </w:lvl>
    <w:lvl w:ilvl="1">
      <w:start w:val="1"/>
      <w:numFmt w:val="decimal"/>
      <w:suff w:val="tab"/>
      <w:lvlText w:val="%1.%2."/>
      <w:lvlJc w:val="left"/>
      <w:pPr>
        <w:tabs>
          <w:tab w:val="num" w:pos="792"/>
        </w:tabs>
        <w:ind w:left="792" w:hanging="432"/>
      </w:pPr>
      <w:rPr>
        <w:rFonts w:ascii="" w:hAnsi="" w:cs=""/>
      </w:rPr>
    </w:lvl>
    <w:lvl w:ilvl="2">
      <w:start w:val="1"/>
      <w:numFmt w:val="decimal"/>
      <w:suff w:val="tab"/>
      <w:lvlText w:val="%1.%2.%3."/>
      <w:lvlJc w:val="left"/>
      <w:pPr>
        <w:tabs>
          <w:tab w:val="num" w:pos="1224"/>
        </w:tabs>
        <w:ind w:left="1224" w:hanging="504"/>
      </w:pPr>
      <w:rPr>
        <w:rFonts w:ascii="" w:hAnsi="" w:cs=""/>
      </w:rPr>
    </w:lvl>
    <w:lvl w:ilvl="3">
      <w:start w:val="1"/>
      <w:numFmt w:val="decimal"/>
      <w:suff w:val="tab"/>
      <w:lvlText w:val="%1.%2.%3.%4."/>
      <w:lvlJc w:val="left"/>
      <w:pPr>
        <w:tabs>
          <w:tab w:val="num" w:pos="1800"/>
        </w:tabs>
        <w:ind w:left="1728" w:hanging="648"/>
      </w:pPr>
      <w:rPr>
        <w:rFonts w:ascii="" w:hAnsi="" w:cs=""/>
      </w:rPr>
    </w:lvl>
    <w:lvl w:ilvl="4">
      <w:start w:val="1"/>
      <w:numFmt w:val="decimal"/>
      <w:suff w:val="tab"/>
      <w:lvlText w:val="%1.%2.%3.%4.%5."/>
      <w:lvlJc w:val="left"/>
      <w:pPr>
        <w:tabs>
          <w:tab w:val="num" w:pos="2520"/>
        </w:tabs>
        <w:ind w:left="2232" w:hanging="792"/>
      </w:pPr>
      <w:rPr>
        <w:rFonts w:ascii="" w:hAnsi="" w:cs=""/>
      </w:rPr>
    </w:lvl>
    <w:lvl w:ilvl="5">
      <w:start w:val="1"/>
      <w:numFmt w:val="decimal"/>
      <w:suff w:val="tab"/>
      <w:lvlText w:val="%1.%2.%3.%4.%5.%6."/>
      <w:lvlJc w:val="left"/>
      <w:pPr>
        <w:tabs>
          <w:tab w:val="num" w:pos="2880"/>
        </w:tabs>
        <w:ind w:left="2736" w:hanging="936"/>
      </w:pPr>
      <w:rPr>
        <w:rFonts w:ascii="" w:hAnsi="" w:cs=""/>
      </w:rPr>
    </w:lvl>
    <w:lvl w:ilvl="6">
      <w:start w:val="1"/>
      <w:numFmt w:val="decimal"/>
      <w:suff w:val="tab"/>
      <w:lvlText w:val="%1.%2.%3.%4.%5.%6.%7."/>
      <w:lvlJc w:val="left"/>
      <w:pPr>
        <w:tabs>
          <w:tab w:val="num" w:pos="3600"/>
        </w:tabs>
        <w:ind w:left="3240" w:hanging="1080"/>
      </w:pPr>
      <w:rPr>
        <w:rFonts w:ascii="" w:hAnsi="" w:cs=""/>
      </w:rPr>
    </w:lvl>
    <w:lvl w:ilvl="7">
      <w:start w:val="1"/>
      <w:numFmt w:val="decimal"/>
      <w:suff w:val="tab"/>
      <w:lvlText w:val="%1.%2.%3.%4.%5.%6.%7.%8."/>
      <w:lvlJc w:val="left"/>
      <w:pPr>
        <w:tabs>
          <w:tab w:val="num" w:pos="3960"/>
        </w:tabs>
        <w:ind w:left="3744" w:hanging="1224"/>
      </w:pPr>
      <w:rPr>
        <w:rFonts w:ascii="" w:hAnsi="" w:cs=""/>
      </w:rPr>
    </w:lvl>
    <w:lvl w:ilvl="8">
      <w:start w:val="1"/>
      <w:numFmt w:val="decimal"/>
      <w:suff w:val="tab"/>
      <w:lvlText w:val="%1.%2.%3.%4.%5.%6.%7.%8.%9."/>
      <w:lvlJc w:val="left"/>
      <w:pPr>
        <w:tabs>
          <w:tab w:val="num" w:pos="4680"/>
        </w:tabs>
        <w:ind w:left="4320" w:hanging="1440"/>
      </w:pPr>
      <w:rPr>
        <w:rFonts w:ascii="" w:hAnsi="" w:cs=""/>
      </w:rPr>
    </w:lvl>
  </w:abstractNum>
  <w:num w:numId="3">
    <w:abstractNumId w:val="3"/>
  </w:num>
  <w:num w:numId="4">
    <w:abstractNumId w:val="4"/>
  </w:num>
</w:numbering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ru-ru" w:eastAsia="x-none" w:bidi="x-none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ru-ru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OwnStyle"/>
    <w:rPr>
      <w:b w:val="1"/>
      <w:bCs w:val="1"/>
    </w:rPr>
  </w:style>
  <w:style w:type="paragraph" w:customStyle="1" w:styleId="P-Style">
    <w:name w:val="P-Style"/>
    <w:basedOn w:val="Normal"/>
    <w:pPr>
      <w:keepLines w:val="1"/>
      <w:spacing w:after="96"/>
    </w:pPr>
  </w:style>
  <w:style w:type="table" w:customStyle="1" w:styleId="style20053">
    <w:name w:val="style20053"/>
    <w:uiPriority w:val="99"/>
    <w:tblPr>
      <w:tblW w:w="0" w:type="auto"/>
      <w:tblLayout w:type="autofit"/>
      <w:bidiVisual w:val="0"/>
      <w:tblBorders>
        <w:top w:val="single" w:sz="1" w:color="000000"/>
        <w:left w:val="single" w:sz="1" w:color="000000"/>
        <w:right w:val="single" w:sz="1" w:color="000000"/>
        <w:bottom w:val="single" w:sz="1" w:color="000000"/>
        <w:insideH w:val="single" w:sz="1" w:color="000000"/>
        <w:insideV w:val="single" w:sz="1" w:color="000000"/>
      </w:tblBorders>
    </w:tblPr>
  </w:style>
  <w:style w:type="table" w:customStyle="1" w:styleId="style47777">
    <w:name w:val="style47777"/>
    <w:uiPriority w:val="99"/>
    <w:tblPr>
      <w:tblW w:w="0" w:type="auto"/>
      <w:tblLayout w:type="autofit"/>
      <w:bidiVisual w:val="0"/>
      <w:tblBorders>
        <w:top w:val="single" w:sz="1" w:color="000000"/>
        <w:left w:val="single" w:sz="1" w:color="000000"/>
        <w:right w:val="single" w:sz="1" w:color="000000"/>
        <w:bottom w:val="single" w:sz="1" w:color="000000"/>
        <w:insideH w:val="single" w:sz="1" w:color="000000"/>
        <w:insideV w:val="single" w:sz="1" w:color="000000"/>
      </w:tblBorders>
    </w:tblPr>
  </w:style>
  <w:style w:type="table" w:customStyle="1" w:styleId="style13750">
    <w:name w:val="style13750"/>
    <w:uiPriority w:val="99"/>
    <w:tblPr>
      <w:tblW w:w="0" w:type="auto"/>
      <w:tblLayout w:type="autofit"/>
      <w:bidiVisual w:val="0"/>
      <w:tblBorders>
        <w:top w:val="single" w:sz="1" w:color="000000"/>
        <w:left w:val="single" w:sz="1" w:color="000000"/>
        <w:right w:val="single" w:sz="1" w:color="000000"/>
        <w:bottom w:val="single" w:sz="1" w:color="000000"/>
        <w:insideH w:val="single" w:sz="1" w:color="000000"/>
        <w:insideV w:val="single" w:sz="1" w:color="000000"/>
      </w:tblBorders>
    </w:tblPr>
  </w:style>
  <w:style w:type="table" w:customStyle="1" w:styleId="style82562">
    <w:name w:val="style82562"/>
    <w:uiPriority w:val="99"/>
    <w:tblPr>
      <w:tblW w:w="0" w:type="auto"/>
      <w:tblLayout w:type="autofit"/>
      <w:bidiVisual w:val="0"/>
      <w:tblBorders>
        <w:top w:val="single" w:sz="1" w:color="000000"/>
        <w:left w:val="single" w:sz="1" w:color="000000"/>
        <w:right w:val="single" w:sz="1" w:color="000000"/>
        <w:bottom w:val="single" w:sz="1" w:color="000000"/>
        <w:insideH w:val="single" w:sz="1" w:color="000000"/>
        <w:insideV w:val="single" w:sz="1" w:color="000000"/>
      </w:tblBorders>
    </w:tblPr>
  </w:style>
  <w:style w:type="table" w:customStyle="1" w:styleId="style59755">
    <w:name w:val="style59755"/>
    <w:uiPriority w:val="99"/>
    <w:tblPr>
      <w:tblW w:w="0" w:type="auto"/>
      <w:tblLayout w:type="autofit"/>
      <w:bidiVisual w:val="0"/>
      <w:tblBorders>
        <w:top w:val="single" w:sz="1" w:color="000000"/>
        <w:left w:val="single" w:sz="1" w:color="000000"/>
        <w:right w:val="single" w:sz="1" w:color="000000"/>
        <w:bottom w:val="single" w:sz="1" w:color="000000"/>
        <w:insideH w:val="single" w:sz="1" w:color="000000"/>
        <w:insideV w:val="single" w:sz="1" w:color="000000"/>
      </w:tblBorders>
    </w:tblPr>
  </w:style>
  <w:style w:type="table" w:customStyle="1" w:styleId="style36256">
    <w:name w:val="style36256"/>
    <w:uiPriority w:val="99"/>
    <w:tblPr>
      <w:tblW w:w="0" w:type="auto"/>
      <w:tblLayout w:type="autofit"/>
      <w:bidiVisual w:val="0"/>
      <w:tblBorders>
        <w:top w:val="single" w:sz="1" w:color="000000"/>
        <w:left w:val="single" w:sz="1" w:color="000000"/>
        <w:right w:val="single" w:sz="1" w:color="000000"/>
        <w:bottom w:val="single" w:sz="1" w:color="000000"/>
        <w:insideH w:val="single" w:sz="1" w:color="000000"/>
        <w:insideV w:val="single" w:sz="1" w:color="000000"/>
      </w:tblBorders>
    </w:tblPr>
  </w:style>
  <w:style w:type="table" w:customStyle="1" w:styleId="style41624">
    <w:name w:val="style41624"/>
    <w:uiPriority w:val="99"/>
    <w:tblPr>
      <w:tblW w:w="0" w:type="auto"/>
      <w:tblLayout w:type="autofit"/>
      <w:bidiVisual w:val="0"/>
      <w:tblBorders>
        <w:top w:val="single" w:sz="0" w:color="ffffff"/>
        <w:left w:val="single" w:sz="0" w:color="ffffff"/>
        <w:right w:val="single" w:sz="0" w:color="ffffff"/>
        <w:bottom w:val="single" w:sz="0" w:color="ffffff"/>
        <w:insideH w:val="single" w:sz="0" w:color="ffffff"/>
        <w:insideV w:val="single" w:sz="0" w:color="ffffff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yperlink" Target="https://corp.roseltorg.ru" TargetMode="Externa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2025-03-03T14:59:47+03:00</dcterms:created>
  <dcterms:modified xsi:type="dcterms:W3CDTF">2025-03-03T14:59:47+03:00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