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№РМР/5654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очно-заочного заседания Постоянно действующей конкурсной комиссии (далее - Комиссия) по ранжированию заявок Участников и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32515462418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/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  <w:lang w:val="en-US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10"/>
          <w:szCs w:val="10"/>
          <w:lang w:val="en-US"/>
        </w:rPr>
      </w:pPr>
      <w:r>
        <w:rPr>
          <w:rFonts w:cs="Times New Roman" w:ascii="Times New Roman" w:hAnsi="Times New Roman"/>
          <w:b w:val="false"/>
          <w:bCs w:val="false"/>
          <w:kern w:val="0"/>
          <w:sz w:val="10"/>
          <w:szCs w:val="10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ПИР, СМР, ПНР, материалы, оборудование по титулу: Строительство РП-10кВ с установкой 12 ячеек, 2КЛ-10кВ от сооруж. РП-10кВ до РП-10кВ № 394 Бирюлево (сооружается по договору № ИА-21-302-8997(906995), сооруж. ТП-10/0,4кВ, в т.ч. ПИР: г.Москва, ул.Бакинская, влад.32 для нужд МКС </w:t>
      </w:r>
      <w:r>
        <w:rPr>
          <w:bCs/>
          <w:sz w:val="24"/>
          <w:szCs w:val="24"/>
        </w:rPr>
        <w:t>– филиала ПАО</w:t>
      </w:r>
      <w:r>
        <w:rPr>
          <w:bCs/>
          <w:sz w:val="24"/>
          <w:szCs w:val="24"/>
          <w:lang w:val="en-US"/>
        </w:rPr>
        <w:t> </w:t>
      </w:r>
      <w:r>
        <w:rPr>
          <w:bCs/>
          <w:sz w:val="24"/>
          <w:szCs w:val="24"/>
        </w:rPr>
        <w:t>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№269р.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18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не установлено.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45"/>
      </w:tblGrid>
      <w:tr>
        <w:trPr>
          <w:trHeight w:val="6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1040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262 266 423,05 руб., в т.ч. НДС 20%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01 августа 2027г.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40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В заседании приняли участие 11 из 19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18"/>
          <w:szCs w:val="18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18"/>
          <w:szCs w:val="18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поступили следующие заявки:</w:t>
      </w:r>
    </w:p>
    <w:tbl>
      <w:tblPr>
        <w:tblW w:w="100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5103"/>
        <w:gridCol w:w="3989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4"/>
                <w:szCs w:val="24"/>
              </w:rPr>
              <w:t>Наименование Участника и его адрес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6"/>
              <w:widowControl w:val="false"/>
              <w:spacing w:lineRule="auto" w:line="240" w:before="0" w:after="0"/>
              <w:ind w:hanging="0" w:start="0" w:end="0"/>
              <w:contextualSpacing w:val="fals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Дата и время подачи (мск. время)</w:t>
            </w:r>
          </w:p>
        </w:tc>
      </w:tr>
      <w:tr>
        <w:trPr>
          <w:trHeight w:val="1179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«СК СИСТЕМА» (140070, Московская обл., г.о. Люберцы, пгт. Томилино, ул. Гаршина, д.11, помещ. 11)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04.12.2025  09:14:59</w:t>
            </w:r>
          </w:p>
        </w:tc>
      </w:tr>
      <w:tr>
        <w:trPr>
          <w:trHeight w:val="125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center"/>
              <w:rPr>
                <w:rFonts w:ascii="Times New Roman" w:hAnsi="Times New Roman" w:cs="Times New Roman"/>
                <w:b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szCs w:val="24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«ЭнергоСеть» (119435, г. Москва, ул. Малая Пироговская, д. 18, стр. 1, пом. XI - ком. 19)</w:t>
            </w:r>
          </w:p>
        </w:tc>
        <w:tc>
          <w:tcPr>
            <w:tcW w:w="3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04.12.2025  10:54:01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jc w:val="star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ранжировании заявок Участников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outlineLvl w:val="2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0"/>
          <w:numId w:val="3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2"/>
        <w:contextualSpacing w:val="false"/>
        <w:rPr>
          <w:sz w:val="24"/>
          <w:szCs w:val="24"/>
        </w:rPr>
      </w:pPr>
      <w:r>
        <w:rPr>
          <w:sz w:val="24"/>
          <w:szCs w:val="24"/>
        </w:rPr>
        <w:t>По итогам рассмотрения основных ценовых предложений, а также ценовых предложений, полученных в результате проведения процедуры переторжки, направленных оператором ЭТП, ранжировать заявки Участников, допущенные ранее к рассмотрению, следующим образом:</w:t>
      </w:r>
    </w:p>
    <w:tbl>
      <w:tblPr>
        <w:tblW w:w="49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2"/>
        <w:gridCol w:w="2890"/>
        <w:gridCol w:w="1791"/>
        <w:gridCol w:w="1791"/>
        <w:gridCol w:w="2203"/>
      </w:tblGrid>
      <w:tr>
        <w:trPr>
          <w:tblHeader w:val="true"/>
          <w:trHeight w:val="847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Место в ранжире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Наименование Участника 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 его адрес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2"/>
                <w:szCs w:val="22"/>
              </w:rPr>
              <w:t>Стоимость заявки,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с НДС 20%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/>
            </w:pPr>
            <w:r>
              <w:rPr>
                <w:b/>
                <w:sz w:val="22"/>
                <w:szCs w:val="22"/>
              </w:rPr>
              <w:t>Стоимость заявки после переторжки,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руб. с НДС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Сроки 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выполнения работ</w:t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1515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«СК СИСТЕМА» (140070, Московская обл., г.о. Люберцы, пгт. Томилино, ул. Гаршина, д.11, помещ. 11)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262 004 156,63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участвовали в переторжке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550" w:hRule="atLeast"/>
        </w:trPr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«ЭнергоСеть» (119435, г. Москва, ул. Малая Пироговская, д. 18, стр. 1, пом. XI - ком. 19)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vanish/>
                <w:sz w:val="22"/>
                <w:szCs w:val="22"/>
              </w:rPr>
            </w:pPr>
            <w:r>
              <w:rPr>
                <w:sz w:val="22"/>
                <w:szCs w:val="22"/>
              </w:rPr>
              <w:t>262 266 423,05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участвовали в переторжке</w:t>
            </w:r>
          </w:p>
        </w:tc>
        <w:tc>
          <w:tcPr>
            <w:tcW w:w="2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7"/>
        <w:widowControl w:val="false"/>
        <w:tabs>
          <w:tab w:val="clear" w:pos="1701"/>
          <w:tab w:val="left" w:pos="993" w:leader="none"/>
        </w:tabs>
        <w:spacing w:lineRule="auto" w:line="276"/>
        <w:ind w:hanging="0" w:start="567" w:end="0"/>
        <w:jc w:val="start"/>
        <w:rPr>
          <w:sz w:val="24"/>
          <w:szCs w:val="24"/>
          <w:lang w:val="ru-RU"/>
        </w:rPr>
      </w:pPr>
      <w:r>
        <w:rPr>
          <w:sz w:val="24"/>
          <w:szCs w:val="24"/>
        </w:rPr>
        <w:t>Наивысшее место в итоговой ранжировке получает заявка, имеющая наименьшую цену.</w:t>
      </w:r>
    </w:p>
    <w:p>
      <w:pPr>
        <w:pStyle w:val="Style27"/>
        <w:widowControl w:val="false"/>
        <w:tabs>
          <w:tab w:val="clear" w:pos="1701"/>
          <w:tab w:val="left" w:pos="993" w:leader="none"/>
        </w:tabs>
        <w:spacing w:lineRule="auto" w:line="276"/>
        <w:ind w:hanging="0" w:start="567" w:end="0"/>
        <w:jc w:val="star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Признать Победителем закупки ООО «СК СИСТЕМА» (140070, Московская обл., г.о. Люберцы, пгт. Томилино, ул. Гаршина, д.11, помещ. 11) на следующих условиях:</w:t>
      </w:r>
      <w:bookmarkStart w:id="1" w:name="СписокУчастников"/>
      <w:bookmarkEnd w:id="1"/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3118"/>
        <w:gridCol w:w="4820"/>
      </w:tblGrid>
      <w:tr>
        <w:trPr>
          <w:tblHeader w:val="true"/>
          <w:trHeight w:val="590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заявки, руб. с НДС 20%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672" w:hRule="atLeast"/>
        </w:trPr>
        <w:tc>
          <w:tcPr>
            <w:tcW w:w="21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262 004 156,63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 даты подписания 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01 августа 2027г.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МКС - филиалу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 xml:space="preserve">» заключить договор с ООО «СК СИСТЕМА» (140070, Московская обл., г.о. Люберцы, пгт. Томилино, ул. Гаршина, д.11, помещ. 11) на </w:t>
      </w:r>
      <w:r>
        <w:rPr>
          <w:bCs/>
          <w:sz w:val="24"/>
          <w:szCs w:val="24"/>
        </w:rPr>
        <w:t>выполнение</w:t>
      </w:r>
      <w:r>
        <w:rPr>
          <w:sz w:val="24"/>
          <w:szCs w:val="24"/>
        </w:rPr>
        <w:t xml:space="preserve"> ПИР, СМР, ПНР, материалы, оборудование по титулу: Строительство РП-10кВ с установкой 12 ячеек, 2КЛ-10кВ от сооруж. РП-10кВ до РП-10кВ № 394 Бирюлево (сооружается по договору № ИА-21-302-8997(906995), сооруж. ТП-10/0,4кВ, в т.ч. ПИР: г.Москва, ул.Бакинская, влад.32 для нужд МКС </w:t>
      </w:r>
      <w:r>
        <w:rPr>
          <w:bCs/>
          <w:sz w:val="24"/>
          <w:szCs w:val="24"/>
        </w:rPr>
        <w:t>– филиала ПАО «Россети Московский регион»</w:t>
      </w:r>
      <w:r>
        <w:rPr>
          <w:sz w:val="24"/>
          <w:szCs w:val="24"/>
        </w:rPr>
        <w:t xml:space="preserve"> </w:t>
      </w:r>
      <w:r>
        <w:rPr/>
        <w:t>на следующих условиях:</w:t>
      </w:r>
    </w:p>
    <w:tbl>
      <w:tblPr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1"/>
        <w:gridCol w:w="2410"/>
        <w:gridCol w:w="2552"/>
        <w:gridCol w:w="3402"/>
      </w:tblGrid>
      <w:tr>
        <w:trPr>
          <w:tblHeader w:val="true"/>
          <w:trHeight w:val="652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договора, руб. с НДС 20%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rHeight w:val="90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262 004 156,63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end="-159"/>
              <w:jc w:val="center"/>
              <w:rPr/>
            </w:pPr>
            <w:r>
              <w:rPr>
                <w:sz w:val="22"/>
                <w:szCs w:val="22"/>
              </w:rPr>
              <w:t>В соответствии с ТЗ (приложение 4 к Извещению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 w:val="22"/>
                <w:szCs w:val="22"/>
              </w:rPr>
              <w:t xml:space="preserve">С даты подписания 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договора по 01 августа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2027г.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>В течение 30 рабочих дней после подписания Акта приемки выполненных работ и(или) форм КС-2 и КС-3</w:t>
            </w:r>
          </w:p>
        </w:tc>
      </w:tr>
    </w:tbl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6"/>
          <w:szCs w:val="6"/>
        </w:rPr>
      </w:pPr>
      <w:r>
        <w:rPr>
          <w:b/>
          <w:sz w:val="6"/>
          <w:szCs w:val="6"/>
        </w:rPr>
      </w:r>
    </w:p>
    <w:p>
      <w:pPr>
        <w:pStyle w:val="Style26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b/>
          <w:sz w:val="24"/>
          <w:szCs w:val="24"/>
        </w:rPr>
      </w:pPr>
      <w:r>
        <w:rPr>
          <w:b/>
          <w:sz w:val="24"/>
          <w:szCs w:val="24"/>
        </w:rPr>
        <w:t>Код случая заключения договора по ПП РФ от 27.05.2021 № 814 – 210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Победителю закупки ООО «СК СИСТЕМА» (140070, Московская обл., г.о. Люберцы, пгт. Томилино, ул. Гаршина, д.11, помещ. 11) предоставить Заказчику финансовое обеспечение исполнения обязательств по договору в соответствии с порядком, предусмотренным проектом договора, и с учетом условий, указанных в Приложении №1 к настоящему протоколу.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>В случае необходимости предварительного одобрения Советом директоров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рабочих дней </w:t>
      </w:r>
      <w:r>
        <w:rPr>
          <w:bCs/>
          <w:sz w:val="24"/>
          <w:szCs w:val="24"/>
        </w:rPr>
        <w:t>с даты размещения в ЕИС итогового протокола, составленного по результатам закупки</w:t>
      </w:r>
      <w:r>
        <w:rPr>
          <w:sz w:val="24"/>
          <w:szCs w:val="24"/>
        </w:rPr>
        <w:t>.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Закупочной комиссии, оператора электронной площадки договор должен быть заключен в срок не позднее 20 (двадцати) рабочих дней с момента принятия соответствующего решения (одобрения, вынесения решения по жалобе, иску).</w:t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Cs w:val="24"/>
        </w:rPr>
      </w:pPr>
      <w:r>
        <w:rPr>
          <w:szCs w:val="24"/>
        </w:rPr>
        <w:t>Приложение: Условия выбора финансового обеспечения – на 1 л.</w:t>
      </w:r>
    </w:p>
    <w:p>
      <w:pPr>
        <w:pStyle w:val="21"/>
        <w:keepNext w:val="true"/>
        <w:spacing w:before="0" w:after="0"/>
        <w:ind w:start="0" w:end="-153"/>
        <w:contextualSpacing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120" w:after="0"/>
        <w:ind w:hanging="567" w:start="567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РЕЗУЛЬТАТЫ ГОЛОСОВАНИЯ</w:t>
      </w:r>
      <w:r>
        <w:rPr>
          <w:rFonts w:cs="Times New Roman" w:ascii="Times New Roman" w:hAnsi="Times New Roman"/>
          <w:sz w:val="23"/>
          <w:szCs w:val="23"/>
        </w:rPr>
        <w:t xml:space="preserve"> (в соответствии с опросными листами)</w:t>
      </w:r>
      <w:r>
        <w:rPr>
          <w:rFonts w:cs="Times New Roman" w:ascii="Times New Roman" w:hAnsi="Times New Roman"/>
          <w:sz w:val="24"/>
          <w:szCs w:val="24"/>
        </w:rPr>
        <w:t>:</w:t>
      </w:r>
    </w:p>
    <w:p>
      <w:pPr>
        <w:pStyle w:val="Normal"/>
        <w:widowControl w:val="false"/>
        <w:suppressAutoHyphens w:val="true"/>
        <w:spacing w:lineRule="auto" w:line="240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«За» - </w:t>
      </w:r>
      <w:bookmarkStart w:id="2" w:name="КоличествоЧленов"/>
      <w:bookmarkEnd w:id="2"/>
      <w:r>
        <w:rPr>
          <w:sz w:val="24"/>
          <w:szCs w:val="24"/>
        </w:rPr>
        <w:t>11 (одиннадцать</w:t>
      </w:r>
      <w:r>
        <w:rPr>
          <w:color w:val="000000"/>
          <w:sz w:val="24"/>
          <w:szCs w:val="24"/>
        </w:rPr>
        <w:t xml:space="preserve">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76"/>
        <w:ind w:hanging="0" w:end="0"/>
        <w:rPr>
          <w:b/>
          <w:sz w:val="12"/>
          <w:szCs w:val="12"/>
          <w:lang w:val="en-US"/>
        </w:rPr>
      </w:pPr>
      <w:r>
        <w:rPr>
          <w:b/>
          <w:sz w:val="12"/>
          <w:szCs w:val="12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5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1985"/>
        <w:gridCol w:w="1984"/>
        <w:gridCol w:w="4145"/>
      </w:tblGrid>
      <w:tr>
        <w:trPr>
          <w:trHeight w:val="990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70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 w:end="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i/>
          <w:color w:val="000000"/>
          <w:sz w:val="22"/>
          <w:szCs w:val="22"/>
        </w:rPr>
        <w:t xml:space="preserve">Огородникова Е.А.   </w:t>
      </w:r>
      <w:r>
        <w:rPr>
          <w:i/>
          <w:sz w:val="22"/>
          <w:szCs w:val="22"/>
        </w:rPr>
        <w:t>+7 (495) 662-40-70  (вн. 47-73)</w:t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№РМР/5654</w:t>
    </w:r>
    <w:r>
      <mc:AlternateContent>
        <mc:Choice Requires="wps">
          <w:drawing>
            <wp:anchor behindDoc="0" distT="0" distB="0" distL="0" distR="0" simplePos="0" locked="0" layoutInCell="0" allowOverlap="1" relativeHeight="6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4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ранжированию заявок Участников и 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32515462418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4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6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3482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2019-12-18T09:26:00Z</cp:lastPrinted>
  <dcterms:modified xsi:type="dcterms:W3CDTF">2025-12-12T09:25:00Z</dcterms:modified>
  <cp:revision>2948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