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ПРОТОКОЛ</w:t>
      </w:r>
    </w:p>
    <w:p>
      <w:pPr>
        <w:pStyle w:val="Normal"/>
        <w:widowControl w:val="false"/>
        <w:jc w:val="center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заседания Закупочной комиссии о признании</w:t>
      </w:r>
    </w:p>
    <w:p>
      <w:pPr>
        <w:pStyle w:val="Normal"/>
        <w:widowControl w:val="false"/>
        <w:jc w:val="center"/>
        <w:rPr>
          <w:rFonts w:ascii="Liberation Serif" w:hAnsi="Liberation Serif" w:cs="Liberation Serif"/>
          <w:bCs/>
        </w:rPr>
      </w:pPr>
      <w:r>
        <w:rPr>
          <w:rFonts w:cs="Liberation Serif" w:ascii="Liberation Serif" w:hAnsi="Liberation Serif"/>
        </w:rPr>
        <w:t>закупки несостоявшейся</w:t>
      </w:r>
    </w:p>
    <w:p>
      <w:pPr>
        <w:pStyle w:val="Normal"/>
        <w:widowControl w:val="false"/>
        <w:jc w:val="center"/>
        <w:rPr/>
      </w:pPr>
      <w:r>
        <w:rPr>
          <w:rFonts w:cs="Liberation Serif" w:ascii="Liberation Serif" w:hAnsi="Liberation Serif"/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№ </w:t>
            </w:r>
            <w:r>
              <w:rPr>
                <w:rFonts w:cs="Liberation Serif" w:ascii="Liberation Serif" w:hAnsi="Liberation Serif"/>
              </w:rPr>
              <w:t>219959/ОКП-ПН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Конкурентные переговоры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/>
              <w:t>Ремонт резервного ротора турбогенератора ТГ-1 типа AEG FDn-3627 для Уфимской ТЭЦ-3 филиала ООО «БГК»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rFonts w:cs="Liberation Serif" w:ascii="Liberation Serif" w:hAnsi="Liberation Serif"/>
              </w:rPr>
              <w:t>«15» декабря 2025 г. 09:00 (по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rFonts w:cs="Liberation Serif" w:ascii="Liberation Serif" w:hAnsi="Liberation Serif"/>
              </w:rPr>
              <w:t xml:space="preserve">«15» декабря 2025 г. 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/>
              <w:t xml:space="preserve">51 466 666,67 </w:t>
            </w:r>
            <w:r>
              <w:rPr>
                <w:rFonts w:cs="Liberation Serif" w:ascii="Liberation Serif" w:hAnsi="Liberation Serif"/>
              </w:rPr>
              <w:t>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widowControl w:val="false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erif" w:hAnsi="Liberation Serif" w:cs="Liberation Serif"/>
              </w:rPr>
            </w:pPr>
            <w:r>
              <w:rPr>
                <w:rFonts w:cs="Liberation Serif" w:ascii="Liberation Serif" w:hAnsi="Liberation Serif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 xml:space="preserve">ВОПРОСЫ ЗАСЕДАНИЯ ЗАКУПОЧНОЙ КОМИССИИ: </w:t>
      </w:r>
    </w:p>
    <w:p>
      <w:pPr>
        <w:pStyle w:val="Normal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На участие в закупке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было подано:</w:t>
      </w:r>
    </w:p>
    <w:tbl>
      <w:tblPr>
        <w:tblW w:w="99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7"/>
        <w:gridCol w:w="5249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п/п</w:t>
            </w:r>
          </w:p>
        </w:tc>
        <w:tc>
          <w:tcPr>
            <w:tcW w:w="4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 и время регистрации заявки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2</w:t>
            </w:r>
          </w:p>
        </w:tc>
        <w:tc>
          <w:tcPr>
            <w:tcW w:w="52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</w:r>
          </w:p>
        </w:tc>
        <w:tc>
          <w:tcPr>
            <w:tcW w:w="4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№ 1</w:t>
            </w:r>
          </w:p>
        </w:tc>
        <w:tc>
          <w:tcPr>
            <w:tcW w:w="524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23.10.2025 16:02:56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4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№ 2</w:t>
            </w:r>
          </w:p>
        </w:tc>
        <w:tc>
          <w:tcPr>
            <w:tcW w:w="524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29.10.2025 16:55:39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4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№ 3</w:t>
            </w:r>
          </w:p>
        </w:tc>
        <w:tc>
          <w:tcPr>
            <w:tcW w:w="524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06.11.2025 12:29:38</w:t>
            </w:r>
          </w:p>
        </w:tc>
      </w:tr>
    </w:tbl>
    <w:p>
      <w:pPr>
        <w:pStyle w:val="Normal"/>
        <w:widowControl w:val="false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1 повестки: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Об одобрении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Сводного отчета Экспертной группы по оценке заявок.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 (приложение №1).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r>
        <w:rPr>
          <w:rFonts w:cs="Liberation Serif" w:ascii="Liberation Serif" w:hAnsi="Liberation Serif"/>
        </w:rPr>
        <w:t>Закупочной комиссии предлагается одобрить Сводный отчет Экспертной группы по оценке заявок.</w:t>
      </w:r>
    </w:p>
    <w:p>
      <w:pPr>
        <w:pStyle w:val="Normal"/>
        <w:widowControl w:val="false"/>
        <w:spacing w:before="120" w:after="120"/>
        <w:rPr>
          <w:rFonts w:ascii="Liberation Serif" w:hAnsi="Liberation Serif" w:cs="Liberation Serif"/>
          <w:b/>
        </w:rPr>
      </w:pPr>
      <w:r>
        <w:rPr>
          <w:rFonts w:cs="Liberation Serif" w:ascii="Liberation Serif" w:hAnsi="Liberation Serif"/>
          <w:b/>
        </w:rPr>
        <w:t>Вопрос 2 повестки:</w:t>
      </w:r>
    </w:p>
    <w:p>
      <w:pPr>
        <w:pStyle w:val="Normal"/>
        <w:widowControl w:val="false"/>
        <w:spacing w:before="120" w:after="120"/>
        <w:ind w:firstLine="709" w:end="0"/>
        <w:jc w:val="both"/>
        <w:rPr/>
      </w:pPr>
      <w:bookmarkStart w:id="0" w:name="_Hlk90385669"/>
      <w:bookmarkEnd w:id="0"/>
      <w:r>
        <w:rPr>
          <w:rFonts w:cs="Liberation Serif" w:ascii="Liberation Serif" w:hAnsi="Liberation Serif"/>
        </w:rPr>
        <w:t>Предлагается отклонить заявки участников в соответствии со Сводным отчетом Экспертной группы (приложение № 1).</w:t>
      </w:r>
    </w:p>
    <w:p>
      <w:pPr>
        <w:pStyle w:val="Normal"/>
        <w:widowControl w:val="false"/>
        <w:spacing w:before="120" w:after="120"/>
        <w:rPr/>
      </w:pPr>
      <w:bookmarkStart w:id="1" w:name="_Hlk90385669"/>
      <w:bookmarkEnd w:id="1"/>
      <w:r>
        <w:rPr>
          <w:rFonts w:cs="Liberation Serif" w:ascii="Liberation Serif" w:hAnsi="Liberation Serif"/>
          <w:b/>
        </w:rPr>
        <w:t>Вопрос 3 повестки:</w:t>
      </w:r>
    </w:p>
    <w:p>
      <w:pPr>
        <w:pStyle w:val="Normal"/>
        <w:widowControl w:val="false"/>
        <w:ind w:firstLine="708" w:end="0"/>
        <w:jc w:val="both"/>
        <w:rPr/>
      </w:pPr>
      <w:bookmarkStart w:id="2" w:name="_Hlk91153363"/>
      <w:bookmarkEnd w:id="2"/>
      <w:r>
        <w:rPr>
          <w:rFonts w:cs="Liberation Serif" w:ascii="Liberation Serif" w:hAnsi="Liberation Serif"/>
        </w:rPr>
        <w:t>О признании закупки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несостоявшейся</w:t>
      </w:r>
      <w:r>
        <w:rPr>
          <w:rFonts w:cs="Liberation Serif" w:ascii="Liberation Serif" w:hAnsi="Liberation Serif"/>
          <w:i/>
        </w:rPr>
        <w:t>.</w:t>
      </w:r>
    </w:p>
    <w:p>
      <w:pPr>
        <w:pStyle w:val="Normal"/>
        <w:widowControl w:val="false"/>
        <w:ind w:firstLine="708" w:end="0"/>
        <w:jc w:val="both"/>
        <w:rPr/>
      </w:pPr>
      <w:r>
        <w:rPr>
          <w:rFonts w:cs="Liberation Serif" w:ascii="Liberation Serif" w:hAnsi="Liberation Serif"/>
        </w:rPr>
        <w:t>В связи с тем, что по результатам проведения закупки все заявки на участие в закупке отклонены, предлагается признать закупку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несостоявшейся.</w:t>
      </w:r>
    </w:p>
    <w:p>
      <w:pPr>
        <w:pStyle w:val="Normal"/>
        <w:widowControl w:val="false"/>
        <w:spacing w:before="120" w:after="120"/>
        <w:rPr>
          <w:rFonts w:ascii="Liberation Serif" w:hAnsi="Liberation Serif" w:cs="Liberation Serif"/>
          <w:b/>
        </w:rPr>
      </w:pPr>
      <w:bookmarkStart w:id="3" w:name="_Hlk91153363"/>
      <w:bookmarkEnd w:id="3"/>
      <w:r>
        <w:rPr>
          <w:rFonts w:cs="Liberation Serif" w:ascii="Liberation Serif" w:hAnsi="Liberation Serif"/>
          <w:b/>
        </w:rPr>
        <w:t>РЕШИЛИ: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</w:rPr>
        <w:t>Одобрить Сводный отчет Экспертной группы по оценке заявок.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-2835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4" w:name="_Hlk91150090"/>
      <w:bookmarkEnd w:id="4"/>
      <w:r>
        <w:rPr>
          <w:rFonts w:cs="Liberation Serif" w:ascii="Liberation Serif" w:hAnsi="Liberation Serif"/>
        </w:rPr>
        <w:t>Отклонить заявки участников в соответствии со Сводным отчетом Экспертной группы (приложение № 1).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709" w:leader="none"/>
        </w:tabs>
        <w:spacing w:before="120" w:after="0"/>
        <w:ind w:hanging="0" w:start="0" w:end="0"/>
        <w:jc w:val="both"/>
        <w:rPr>
          <w:rFonts w:ascii="Liberation Serif" w:hAnsi="Liberation Serif" w:cs="Liberation Serif"/>
        </w:rPr>
      </w:pPr>
      <w:bookmarkStart w:id="5" w:name="_Hlk91150090"/>
      <w:bookmarkStart w:id="6" w:name="_Hlk91150210"/>
      <w:bookmarkEnd w:id="5"/>
      <w:r>
        <w:rPr>
          <w:rFonts w:cs="Liberation Serif" w:ascii="Liberation Serif" w:hAnsi="Liberation Serif"/>
        </w:rPr>
        <w:t>Признать закупку</w:t>
      </w:r>
      <w:r>
        <w:rPr>
          <w:rFonts w:cs="Liberation Serif" w:ascii="Liberation Serif" w:hAnsi="Liberation Serif"/>
          <w:i/>
          <w:color w:val="548DD4"/>
        </w:rPr>
        <w:t xml:space="preserve"> </w:t>
      </w:r>
      <w:r>
        <w:rPr>
          <w:rFonts w:cs="Liberation Serif" w:ascii="Liberation Serif" w:hAnsi="Liberation Serif"/>
        </w:rPr>
        <w:t>несостоявшейся.</w:t>
      </w:r>
      <w:bookmarkEnd w:id="6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276" w:right="850" w:gutter="0" w:header="709" w:top="765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/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uppressAutoHyphens w:val="true"/>
      <w:spacing w:before="360" w:after="120"/>
      <w:ind w:hanging="1134" w:start="1134" w:end="0"/>
      <w:outlineLvl w:val="1"/>
    </w:pPr>
    <w:rPr>
      <w:b/>
      <w:sz w:val="32"/>
      <w:szCs w:val="20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20"/>
      <w:szCs w:val="20"/>
    </w:rPr>
  </w:style>
  <w:style w:type="character" w:styleId="WW8Num5z0">
    <w:name w:val="WW8Num5z0"/>
    <w:qFormat/>
    <w:rPr>
      <w:i w:val="false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color w:val="000000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6z0">
    <w:name w:val="WW8Num16z0"/>
    <w:qFormat/>
    <w:rPr>
      <w:sz w:val="24"/>
      <w:szCs w:val="24"/>
    </w:rPr>
  </w:style>
  <w:style w:type="character" w:styleId="WW8Num16z1">
    <w:name w:val="WW8Num16z1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b/>
      <w:sz w:val="26"/>
      <w:szCs w:val="26"/>
    </w:rPr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0z0">
    <w:name w:val="WW8Num20z0"/>
    <w:qFormat/>
    <w:rPr>
      <w:sz w:val="20"/>
      <w:szCs w:val="20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3z0">
    <w:name w:val="WW8Num23z0"/>
    <w:qFormat/>
    <w:rPr>
      <w:sz w:val="24"/>
      <w:szCs w:val="24"/>
    </w:rPr>
  </w:style>
  <w:style w:type="character" w:styleId="WW8Num23z1">
    <w:name w:val="WW8Num23z1"/>
    <w:qFormat/>
    <w:rPr>
      <w:rFonts w:ascii="Symbol" w:hAnsi="Symbol" w:cs="Symbol"/>
      <w:b w:val="false"/>
      <w:i w:val="false"/>
      <w:sz w:val="24"/>
    </w:rPr>
  </w:style>
  <w:style w:type="character" w:styleId="WW8Num24z0">
    <w:name w:val="WW8Num24z0"/>
    <w:qFormat/>
    <w:rPr>
      <w:sz w:val="20"/>
      <w:szCs w:val="20"/>
    </w:rPr>
  </w:style>
  <w:style w:type="character" w:styleId="WW8Num26z0">
    <w:name w:val="WW8Num26z0"/>
    <w:qFormat/>
    <w:rPr/>
  </w:style>
  <w:style w:type="character" w:styleId="WW8Num26z1">
    <w:name w:val="WW8Num26z1"/>
    <w:qFormat/>
    <w:rPr>
      <w:color w:val="000000"/>
    </w:rPr>
  </w:style>
  <w:style w:type="character" w:styleId="WW8Num27z0">
    <w:name w:val="WW8Num2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9z1">
    <w:name w:val="WW8Num29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0z1">
    <w:name w:val="WW8Num30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2z0">
    <w:name w:val="WW8Num32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PageNumber">
    <w:name w:val="page number"/>
    <w:basedOn w:val="Style12"/>
    <w:rPr/>
  </w:style>
  <w:style w:type="character" w:styleId="Style13">
    <w:name w:val="комментарий"/>
    <w:qFormat/>
    <w:rPr>
      <w:b/>
      <w:i/>
      <w:shd w:fill="FFFF99" w:val="clear"/>
    </w:rPr>
  </w:style>
  <w:style w:type="character" w:styleId="Style14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подпункт Знак"/>
    <w:qFormat/>
    <w:rPr>
      <w:sz w:val="28"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character" w:styleId="2">
    <w:name w:val="Заголовок 2 Знак"/>
    <w:qFormat/>
    <w:rPr>
      <w:b/>
      <w:sz w:val="32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basedOn w:val="Style12"/>
    <w:qFormat/>
    <w:rPr/>
  </w:style>
  <w:style w:type="character" w:styleId="Style21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3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6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7">
    <w:name w:val="Подподпункт"/>
    <w:basedOn w:val="Normal"/>
    <w:qFormat/>
    <w:pPr>
      <w:numPr>
        <w:ilvl w:val="0"/>
        <w:numId w:val="4"/>
      </w:numPr>
      <w:tabs>
        <w:tab w:val="clear" w:pos="708"/>
        <w:tab w:val="left" w:pos="927" w:leader="none"/>
      </w:tabs>
      <w:spacing w:lineRule="auto" w:line="360"/>
      <w:ind w:hanging="360" w:start="927" w:end="0"/>
      <w:jc w:val="both"/>
    </w:pPr>
    <w:rPr>
      <w:sz w:val="28"/>
      <w:szCs w:val="20"/>
      <w:lang w:val="en-US"/>
    </w:rPr>
  </w:style>
  <w:style w:type="paragraph" w:styleId="Style28">
    <w:name w:val="Абзац списка"/>
    <w:basedOn w:val="Normal"/>
    <w:qFormat/>
    <w:pPr>
      <w:widowControl w:val="false"/>
      <w:autoSpaceDE w:val="false"/>
      <w:spacing w:before="0" w:after="0"/>
      <w:ind w:hanging="0" w:start="720" w:end="0"/>
      <w:contextualSpacing/>
    </w:pPr>
    <w:rPr/>
  </w:style>
  <w:style w:type="paragraph" w:styleId="Style29">
    <w:name w:val="Пункт"/>
    <w:basedOn w:val="Normal"/>
    <w:qFormat/>
    <w:pPr>
      <w:tabs>
        <w:tab w:val="clear" w:pos="708"/>
        <w:tab w:val="left" w:pos="1134" w:leader="none"/>
      </w:tabs>
      <w:spacing w:lineRule="auto" w:line="360"/>
      <w:ind w:hanging="1134" w:start="1134" w:end="0"/>
      <w:jc w:val="both"/>
    </w:pPr>
    <w:rPr>
      <w:sz w:val="28"/>
      <w:szCs w:val="20"/>
    </w:rPr>
  </w:style>
  <w:style w:type="paragraph" w:styleId="BodyTextIndent">
    <w:name w:val="Body Text Indent"/>
    <w:basedOn w:val="Normal"/>
    <w:pPr>
      <w:ind w:hanging="0" w:start="-720" w:end="0"/>
      <w:jc w:val="both"/>
    </w:pPr>
    <w:rPr>
      <w:lang w:val="en-US"/>
    </w:rPr>
  </w:style>
  <w:style w:type="paragraph" w:styleId="Style30">
    <w:name w:val="Нумерованный список"/>
    <w:basedOn w:val="BodyText"/>
    <w:qFormat/>
    <w:pPr>
      <w:tabs>
        <w:tab w:val="clear" w:pos="708"/>
        <w:tab w:val="left" w:pos="360" w:leader="none"/>
      </w:tabs>
      <w:autoSpaceDE w:val="false"/>
      <w:spacing w:lineRule="auto" w:line="360" w:before="60" w:after="0"/>
      <w:jc w:val="both"/>
    </w:pPr>
    <w:rPr>
      <w:sz w:val="28"/>
    </w:rPr>
  </w:style>
  <w:style w:type="paragraph" w:styleId="Style31">
    <w:name w:val="Текст примечания"/>
    <w:basedOn w:val="Normal"/>
    <w:qFormat/>
    <w:pPr/>
    <w:rPr>
      <w:sz w:val="20"/>
      <w:szCs w:val="20"/>
    </w:rPr>
  </w:style>
  <w:style w:type="paragraph" w:styleId="Style32">
    <w:name w:val="Тема примечания"/>
    <w:basedOn w:val="Style31"/>
    <w:next w:val="Style31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2025-12-15T06:13:00Z</dcterms:created>
  <dc:creator/>
  <dc:description/>
  <cp:keywords/>
  <dc:language>en-US</dc:language>
  <cp:lastModifiedBy/>
  <dcterms:modified xsi:type="dcterms:W3CDTF">2025-12-15T06:13:00Z</dcterms:modified>
  <cp:revision>1</cp:revision>
  <dc:subject/>
  <dc:title>Протокол вскрытия конвертов</dc:title>
</cp:coreProperties>
</file>