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Протокол </w:t>
      </w:r>
      <w:r>
        <w:rPr>
          <w:b/>
          <w:sz w:val="26"/>
          <w:szCs w:val="26"/>
        </w:rPr>
        <w:t xml:space="preserve">№ </w:t>
      </w:r>
      <w:r>
        <w:rPr>
          <w:b/>
          <w:sz w:val="26"/>
          <w:szCs w:val="26"/>
        </w:rPr>
        <w:t xml:space="preserve">2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jc w:val="center"/>
        <w:widowControl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заочного </w:t>
      </w:r>
      <w:r>
        <w:rPr>
          <w:b/>
          <w:bCs/>
          <w:sz w:val="26"/>
          <w:szCs w:val="26"/>
        </w:rPr>
        <w:t xml:space="preserve">заседания постоянно действующей закупочной комиссии 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jc w:val="center"/>
        <w:widowControl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по рассмотрению предложений участников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935"/>
        <w:ind w:left="0" w:right="28"/>
        <w:jc w:val="both"/>
        <w:spacing w:after="0"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28"/>
        <w:rPr>
          <w:color w:val="0000cc"/>
          <w:sz w:val="25"/>
          <w:szCs w:val="25"/>
          <w:highlight w:val="none"/>
        </w:rPr>
      </w:pPr>
      <w:r>
        <w:rPr>
          <w:sz w:val="25"/>
          <w:szCs w:val="25"/>
        </w:rPr>
        <w:t xml:space="preserve">г. </w:t>
      </w:r>
      <w:r>
        <w:rPr>
          <w:sz w:val="25"/>
          <w:szCs w:val="25"/>
        </w:rPr>
        <w:t xml:space="preserve">Санкт-П</w:t>
      </w:r>
      <w:r>
        <w:rPr>
          <w:sz w:val="25"/>
          <w:szCs w:val="25"/>
        </w:rPr>
        <w:t xml:space="preserve">етер</w:t>
      </w:r>
      <w:r>
        <w:rPr>
          <w:sz w:val="25"/>
          <w:szCs w:val="25"/>
          <w:highlight w:val="none"/>
        </w:rPr>
        <w:t xml:space="preserve">бург</w:t>
      </w:r>
      <w:r>
        <w:rPr>
          <w:sz w:val="25"/>
          <w:szCs w:val="25"/>
          <w:highlight w:val="none"/>
        </w:rPr>
        <w:t xml:space="preserve"> </w:t>
      </w:r>
      <w:r>
        <w:rPr>
          <w:color w:val="0000cc"/>
          <w:sz w:val="25"/>
          <w:szCs w:val="25"/>
          <w:highlight w:val="none"/>
        </w:rPr>
        <w:tab/>
        <w:tab/>
        <w:tab/>
        <w:tab/>
        <w:tab/>
        <w:tab/>
        <w:tab/>
        <w:t xml:space="preserve">           </w:t>
      </w:r>
      <w:r>
        <w:rPr>
          <w:color w:val="0000cc"/>
          <w:sz w:val="25"/>
          <w:szCs w:val="25"/>
          <w:highlight w:val="none"/>
        </w:rPr>
        <w:t xml:space="preserve">    </w:t>
      </w:r>
      <w:r>
        <w:rPr>
          <w:sz w:val="25"/>
          <w:szCs w:val="25"/>
          <w:highlight w:val="none"/>
        </w:rPr>
        <w:t xml:space="preserve">«15</w:t>
      </w:r>
      <w:r>
        <w:rPr>
          <w:sz w:val="25"/>
          <w:szCs w:val="25"/>
          <w:highlight w:val="none"/>
        </w:rPr>
        <w:t xml:space="preserve">» декабря</w:t>
      </w:r>
      <w:r>
        <w:rPr>
          <w:sz w:val="25"/>
          <w:szCs w:val="25"/>
          <w:highlight w:val="none"/>
        </w:rPr>
        <w:t xml:space="preserve"> </w:t>
      </w:r>
      <w:r>
        <w:rPr>
          <w:sz w:val="25"/>
          <w:szCs w:val="25"/>
          <w:highlight w:val="none"/>
        </w:rPr>
        <w:t xml:space="preserve">202</w:t>
      </w:r>
      <w:r>
        <w:rPr>
          <w:sz w:val="25"/>
          <w:szCs w:val="25"/>
          <w:highlight w:val="none"/>
        </w:rPr>
        <w:t xml:space="preserve">5</w:t>
      </w:r>
      <w:r>
        <w:rPr>
          <w:sz w:val="25"/>
          <w:szCs w:val="25"/>
          <w:highlight w:val="none"/>
        </w:rPr>
        <w:t xml:space="preserve"> года</w:t>
      </w:r>
      <w:r>
        <w:rPr>
          <w:color w:val="0000cc"/>
          <w:sz w:val="25"/>
          <w:szCs w:val="25"/>
          <w:highlight w:val="none"/>
        </w:rPr>
      </w:r>
      <w:r>
        <w:rPr>
          <w:color w:val="0000cc"/>
          <w:sz w:val="25"/>
          <w:szCs w:val="25"/>
          <w:highlight w:val="none"/>
        </w:rPr>
      </w:r>
    </w:p>
    <w:p>
      <w:pPr>
        <w:pStyle w:val="928"/>
        <w:tabs>
          <w:tab w:val="left" w:pos="9020" w:leader="none"/>
        </w:tabs>
        <w:rPr>
          <w:sz w:val="25"/>
          <w:szCs w:val="25"/>
          <w:highlight w:val="none"/>
        </w:rPr>
      </w:pPr>
      <w:r>
        <w:rPr>
          <w:sz w:val="25"/>
          <w:szCs w:val="25"/>
          <w:highlight w:val="none"/>
        </w:rPr>
        <w:t xml:space="preserve">Дата заседания </w:t>
      </w:r>
      <w:r>
        <w:rPr>
          <w:sz w:val="25"/>
          <w:szCs w:val="25"/>
          <w:highlight w:val="none"/>
        </w:rPr>
        <w:t xml:space="preserve">З</w:t>
      </w:r>
      <w:r>
        <w:rPr>
          <w:sz w:val="25"/>
          <w:szCs w:val="25"/>
          <w:highlight w:val="none"/>
        </w:rPr>
        <w:t xml:space="preserve">акупочной комиссии:</w:t>
      </w:r>
      <w:r>
        <w:rPr>
          <w:sz w:val="25"/>
          <w:szCs w:val="25"/>
          <w:highlight w:val="none"/>
        </w:rPr>
        <w:t xml:space="preserve"> 15.12</w:t>
      </w:r>
      <w:r>
        <w:rPr>
          <w:sz w:val="25"/>
          <w:szCs w:val="25"/>
          <w:highlight w:val="none"/>
        </w:rPr>
        <w:t xml:space="preserve">.2025</w:t>
      </w:r>
      <w:r>
        <w:rPr>
          <w:sz w:val="25"/>
          <w:szCs w:val="25"/>
          <w:highlight w:val="none"/>
        </w:rPr>
        <w:t xml:space="preserve">.</w:t>
      </w:r>
      <w:r>
        <w:rPr>
          <w:sz w:val="25"/>
          <w:szCs w:val="25"/>
          <w:highlight w:val="none"/>
        </w:rPr>
      </w:r>
      <w:r>
        <w:rPr>
          <w:sz w:val="25"/>
          <w:szCs w:val="25"/>
          <w:highlight w:val="none"/>
        </w:rPr>
      </w:r>
    </w:p>
    <w:p>
      <w:pPr>
        <w:pStyle w:val="928"/>
        <w:tabs>
          <w:tab w:val="left" w:pos="9020" w:leader="none"/>
        </w:tabs>
        <w:rPr>
          <w:sz w:val="25"/>
          <w:szCs w:val="25"/>
          <w:highlight w:val="none"/>
        </w:rPr>
      </w:pPr>
      <w:r>
        <w:rPr>
          <w:sz w:val="25"/>
          <w:szCs w:val="25"/>
          <w:highlight w:val="none"/>
        </w:rPr>
        <w:t xml:space="preserve">Дата подписания </w:t>
      </w:r>
      <w:r>
        <w:rPr>
          <w:sz w:val="25"/>
          <w:szCs w:val="25"/>
          <w:highlight w:val="none"/>
        </w:rPr>
        <w:t xml:space="preserve">п</w:t>
      </w:r>
      <w:r>
        <w:rPr>
          <w:sz w:val="25"/>
          <w:szCs w:val="25"/>
          <w:highlight w:val="none"/>
        </w:rPr>
        <w:t xml:space="preserve">ротокола: 15</w:t>
      </w:r>
      <w:r>
        <w:rPr>
          <w:sz w:val="25"/>
          <w:szCs w:val="25"/>
          <w:highlight w:val="none"/>
        </w:rPr>
        <w:t xml:space="preserve">.12</w:t>
      </w:r>
      <w:r>
        <w:rPr>
          <w:sz w:val="25"/>
          <w:szCs w:val="25"/>
          <w:highlight w:val="none"/>
        </w:rPr>
        <w:t xml:space="preserve">.2025</w:t>
      </w:r>
      <w:r>
        <w:rPr>
          <w:sz w:val="25"/>
          <w:szCs w:val="25"/>
          <w:highlight w:val="none"/>
        </w:rPr>
        <w:t xml:space="preserve">.</w:t>
      </w:r>
      <w:r>
        <w:rPr>
          <w:sz w:val="25"/>
          <w:szCs w:val="25"/>
          <w:highlight w:val="none"/>
        </w:rPr>
      </w:r>
      <w:r>
        <w:rPr>
          <w:sz w:val="25"/>
          <w:szCs w:val="25"/>
          <w:highlight w:val="none"/>
        </w:rPr>
      </w:r>
    </w:p>
    <w:p>
      <w:pPr>
        <w:pStyle w:val="928"/>
        <w:tabs>
          <w:tab w:val="left" w:pos="9020" w:leader="none"/>
        </w:tabs>
        <w:rPr>
          <w:sz w:val="25"/>
          <w:szCs w:val="25"/>
          <w:highlight w:val="none"/>
        </w:rPr>
      </w:pPr>
      <w:r>
        <w:rPr>
          <w:sz w:val="25"/>
          <w:szCs w:val="25"/>
          <w:highlight w:val="none"/>
        </w:rPr>
      </w:r>
      <w:r>
        <w:rPr>
          <w:sz w:val="25"/>
          <w:szCs w:val="25"/>
          <w:highlight w:val="none"/>
        </w:rPr>
      </w:r>
      <w:r>
        <w:rPr>
          <w:sz w:val="25"/>
          <w:szCs w:val="25"/>
          <w:highlight w:val="none"/>
        </w:rPr>
      </w:r>
    </w:p>
    <w:p>
      <w:pPr>
        <w:pStyle w:val="952"/>
        <w:ind w:right="-24"/>
        <w:spacing w:before="0" w:line="240" w:lineRule="auto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none"/>
          <w:u w:val="single"/>
        </w:rPr>
      </w:pPr>
      <w:r>
        <w:rPr>
          <w:b/>
          <w:sz w:val="26"/>
          <w:szCs w:val="26"/>
          <w:highlight w:val="none"/>
          <w:u w:val="single"/>
        </w:rPr>
        <w:t xml:space="preserve">ПРЕДМЕТ И НАИМЕНОВАНИЕ </w:t>
      </w:r>
      <w:r>
        <w:rPr>
          <w:b/>
          <w:sz w:val="26"/>
          <w:szCs w:val="26"/>
          <w:highlight w:val="none"/>
          <w:u w:val="single"/>
        </w:rPr>
        <w:t xml:space="preserve">ЗАКУПКИ</w:t>
      </w:r>
      <w:r>
        <w:rPr>
          <w:b/>
          <w:sz w:val="26"/>
          <w:szCs w:val="26"/>
          <w:highlight w:val="none"/>
          <w:u w:val="single"/>
        </w:rPr>
        <w:t xml:space="preserve">: </w:t>
      </w:r>
      <w:r>
        <w:rPr>
          <w:b/>
          <w:sz w:val="26"/>
          <w:szCs w:val="26"/>
          <w:highlight w:val="none"/>
          <w:u w:val="single"/>
        </w:rPr>
      </w:r>
      <w:r>
        <w:rPr>
          <w:b/>
          <w:sz w:val="26"/>
          <w:szCs w:val="26"/>
          <w:highlight w:val="none"/>
          <w:u w:val="single"/>
        </w:rPr>
      </w:r>
    </w:p>
    <w:p>
      <w:pPr>
        <w:pStyle w:val="928"/>
        <w:ind w:firstLine="0"/>
        <w:jc w:val="both"/>
        <w:spacing w:line="240" w:lineRule="auto"/>
        <w:tabs>
          <w:tab w:val="left" w:pos="851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  <w:shd w:val="clear" w:color="auto" w:fill="ffffff"/>
        </w:rPr>
      </w:r>
      <w:r>
        <w:rPr>
          <w:sz w:val="26"/>
          <w:szCs w:val="26"/>
          <w:highlight w:val="none"/>
        </w:rPr>
        <w:t xml:space="preserve">Закупка в э</w:t>
      </w:r>
      <w:r>
        <w:rPr>
          <w:sz w:val="26"/>
          <w:szCs w:val="26"/>
          <w:highlight w:val="none"/>
          <w:shd w:val="clear" w:color="auto" w:fill="ffffff"/>
        </w:rPr>
        <w:t xml:space="preserve">лектронном магазине</w:t>
      </w:r>
      <w:r>
        <w:rPr>
          <w:sz w:val="26"/>
          <w:szCs w:val="26"/>
          <w:highlight w:val="none"/>
          <w:shd w:val="clear" w:color="auto" w:fill="ffffff"/>
        </w:rPr>
        <w:t xml:space="preserve">, участниками которого могут быть только субъекты малого и среднего предпринимательства, на право заключения договора на </w:t>
      </w:r>
      <w:r>
        <w:rPr>
          <w:b/>
          <w:bCs/>
          <w:sz w:val="26"/>
          <w:szCs w:val="26"/>
          <w:highlight w:val="none"/>
          <w:shd w:val="clear" w:color="auto" w:fill="ffffff"/>
        </w:rPr>
        <w:t xml:space="preserve">25Т3220010.0013. Поставка кабеля силового и кабельных муфт для нужд ПАО «Россети Северо-Запад»</w:t>
      </w:r>
      <w:r>
        <w:rPr>
          <w:b/>
          <w:bCs/>
          <w:sz w:val="26"/>
          <w:szCs w:val="26"/>
          <w:highlight w:val="none"/>
          <w:shd w:val="clear" w:color="auto" w:fill="ffffff"/>
        </w:rPr>
        <w:t xml:space="preserve">.</w:t>
      </w:r>
      <w:r>
        <w:rPr>
          <w:sz w:val="26"/>
          <w:szCs w:val="26"/>
          <w:highlight w:val="none"/>
          <w:shd w:val="clear" w:color="auto" w:fill="ffffff"/>
        </w:rPr>
        <w:t xml:space="preserve">(далее</w:t>
      </w:r>
      <w:r>
        <w:rPr>
          <w:sz w:val="26"/>
          <w:szCs w:val="26"/>
          <w:highlight w:val="none"/>
          <w:shd w:val="clear" w:color="auto" w:fill="ffffff"/>
        </w:rPr>
        <w:t xml:space="preserve"> – Закупка).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pStyle w:val="951"/>
        <w:contextualSpacing/>
        <w:ind w:left="0" w:firstLine="0"/>
        <w:spacing w:line="240" w:lineRule="auto"/>
        <w:widowControl w:val="off"/>
        <w:tabs>
          <w:tab w:val="left" w:pos="851" w:leader="none"/>
        </w:tabs>
        <w:suppressLineNumbers w:val="0"/>
      </w:pPr>
      <w:r>
        <w:rPr>
          <w:sz w:val="26"/>
          <w:szCs w:val="26"/>
          <w:highlight w:val="white"/>
        </w:rPr>
        <w:t xml:space="preserve">Извещение в ЕИС: </w:t>
      </w:r>
      <w:r>
        <w:rPr>
          <w:sz w:val="26"/>
          <w:szCs w:val="26"/>
          <w:highlight w:val="white"/>
        </w:rPr>
        <w:t xml:space="preserve">32515500242</w:t>
      </w:r>
      <w:r>
        <w:rPr>
          <w:sz w:val="26"/>
          <w:szCs w:val="26"/>
          <w:highlight w:val="yellow"/>
        </w:rPr>
      </w:r>
      <w:r/>
    </w:p>
    <w:p>
      <w:pPr>
        <w:ind w:firstLine="0"/>
        <w:spacing w:line="233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spacing w:line="233" w:lineRule="auto"/>
        <w:tabs>
          <w:tab w:val="left" w:pos="1134" w:leader="none"/>
        </w:tabs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НАЧАЛЬНАЯ (МАКСИМАЛЬНАЯ) ЦЕНА ДОГОВОРА (ЛОТА): 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pStyle w:val="928"/>
        <w:rPr>
          <w:bCs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18 295 670,08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рублей.</w:t>
      </w:r>
      <w:r>
        <w:rPr>
          <w:bCs/>
          <w:sz w:val="26"/>
          <w:szCs w:val="26"/>
          <w:highlight w:val="none"/>
        </w:rPr>
      </w:r>
      <w:r>
        <w:rPr>
          <w:bCs/>
          <w:sz w:val="26"/>
          <w:szCs w:val="26"/>
          <w:highlight w:val="none"/>
        </w:rPr>
      </w:r>
    </w:p>
    <w:p>
      <w:pPr>
        <w:ind w:firstLine="0"/>
        <w:spacing w:line="233" w:lineRule="auto"/>
        <w:rPr>
          <w:sz w:val="26"/>
          <w:szCs w:val="26"/>
        </w:rPr>
      </w:pPr>
      <w:r>
        <w:rPr>
          <w:sz w:val="26"/>
          <w:szCs w:val="26"/>
          <w:highlight w:val="none"/>
          <w:shd w:val="clear" w:color="auto" w:fill="ffffff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38"/>
        <w:spacing w:before="0" w:line="233" w:lineRule="auto"/>
        <w:tabs>
          <w:tab w:val="left" w:pos="851" w:leader="none"/>
          <w:tab w:val="num" w:pos="2127" w:leader="none"/>
        </w:tabs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СОСТАВ ЗАКУПОЧНОЙ КОМИССИИ: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pStyle w:val="928"/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  <w:suppressLineNumbers w:val="0"/>
      </w:pPr>
      <w:r>
        <w:rPr>
          <w:sz w:val="26"/>
          <w:szCs w:val="26"/>
        </w:rPr>
      </w:r>
      <w:r>
        <w:rPr>
          <w:sz w:val="26"/>
          <w:szCs w:val="26"/>
        </w:rPr>
        <w:t xml:space="preserve">Состав постоянно действующей закупочной комиссии (далее – Закупочной комиссии) утвержден приказом ПАО «Россети Северо-Запад» от 14.03.2023 № 117 «Об утверждении Положения о работе постоянно   действующей   закупочной комиссии   исполн</w:t>
      </w:r>
      <w:r>
        <w:rPr>
          <w:sz w:val="26"/>
          <w:szCs w:val="26"/>
        </w:rPr>
        <w:t xml:space="preserve">ительного   аппарата ПАО «Россети Северо-Запад» по выбору поставщиков (подрядчиков, исполнителей) в новой редакции» в действующей редакции.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В состав Закупочной комиссии входит 5 (пять) членов комиссии с правом голоса.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Кворум имеется. Закупочная комиссия правомочна принимать решения.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left"/>
        <w:spacing w:after="0" w:afterAutospacing="0" w:line="240" w:lineRule="auto"/>
        <w:tabs>
          <w:tab w:val="num" w:pos="709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Место проведения заседания Закупочной комиссии: Россия, 196247, </w:t>
        <w:br/>
        <w:t xml:space="preserve">г. Санкт-Петербург, площадь Конституции, д.3, литер А, помещение 16Н</w:t>
      </w:r>
      <w:r>
        <w:rPr>
          <w:sz w:val="26"/>
          <w:szCs w:val="26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0"/>
        <w:spacing w:line="233" w:lineRule="auto"/>
        <w:widowControl w:val="off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  <w:u w:val="single"/>
        </w:rPr>
      </w:pPr>
      <w:r>
        <w:rPr>
          <w:b/>
          <w:bCs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  <w:t xml:space="preserve">СВЕДЕНИЯ О ПРЕДЛОЖЕНИЯХ, ПОСТУПИВШИХ НА УЧАСТИЕ В ЗАКУПКЕ: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ind w:left="0" w:right="0" w:firstLine="0"/>
        <w:jc w:val="left"/>
        <w:spacing w:before="0" w:beforeAutospacing="0" w:after="0" w:afterAutospacing="0" w:line="240" w:lineRule="auto"/>
        <w:tabs>
          <w:tab w:val="num" w:pos="709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В рамках процедуры </w:t>
      </w:r>
      <w:r>
        <w:rPr>
          <w:sz w:val="26"/>
          <w:szCs w:val="26"/>
        </w:rPr>
        <w:t xml:space="preserve">закупки</w:t>
      </w:r>
      <w:r>
        <w:rPr>
          <w:sz w:val="26"/>
          <w:szCs w:val="26"/>
        </w:rPr>
        <w:t xml:space="preserve"> п</w:t>
      </w:r>
      <w:r>
        <w:rPr>
          <w:sz w:val="26"/>
          <w:szCs w:val="26"/>
        </w:rPr>
        <w:t xml:space="preserve">оступил</w:t>
      </w:r>
      <w:r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предложения </w:t>
      </w:r>
      <w:r>
        <w:rPr>
          <w:sz w:val="26"/>
          <w:szCs w:val="26"/>
          <w:highlight w:val="none"/>
        </w:rPr>
        <w:t xml:space="preserve">от следующих участников</w:t>
      </w:r>
      <w:r>
        <w:rPr>
          <w:sz w:val="26"/>
          <w:szCs w:val="26"/>
        </w:rPr>
        <w:t xml:space="preserve">: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tbl>
      <w:tblPr>
        <w:tblStyle w:val="937"/>
        <w:tblW w:w="4985" w:type="pct"/>
        <w:tblCellSpacing w:w="0" w:type="dxa"/>
        <w:tblLayout w:type="fixed"/>
        <w:tblLook w:val="04A0" w:firstRow="1" w:lastRow="0" w:firstColumn="1" w:lastColumn="0" w:noHBand="0" w:noVBand="1"/>
      </w:tblPr>
      <w:tblGrid>
        <w:gridCol w:w="698"/>
        <w:gridCol w:w="4244"/>
        <w:gridCol w:w="5481"/>
      </w:tblGrid>
      <w:tr>
        <w:tblPrEx/>
        <w:trPr>
          <w:trHeight w:val="318"/>
        </w:trPr>
        <w:tc>
          <w:tcPr>
            <w:tcW w:w="698" w:type="dxa"/>
            <w:vAlign w:val="center"/>
            <w:textDirection w:val="lrTb"/>
            <w:noWrap w:val="false"/>
          </w:tcPr>
          <w:p>
            <w:pPr>
              <w:pStyle w:val="928"/>
              <w:ind w:firstLine="0"/>
              <w:jc w:val="center"/>
              <w:spacing w:before="0" w:beforeAutospacing="0" w:after="0" w:afterAutospacing="0"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  <w:lang w:val="en-US"/>
              </w:rPr>
              <w:t xml:space="preserve">N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п/п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  <w:tc>
          <w:tcPr>
            <w:tcW w:w="4244" w:type="dxa"/>
            <w:vAlign w:val="center"/>
            <w:textDirection w:val="lrTb"/>
            <w:noWrap w:val="false"/>
          </w:tcPr>
          <w:p>
            <w:pPr>
              <w:ind w:left="57" w:right="57" w:firstLine="0"/>
              <w:jc w:val="left"/>
              <w:keepNext/>
              <w:spacing w:line="233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Рег. номер заявки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5481" w:type="dxa"/>
            <w:vAlign w:val="center"/>
            <w:textDirection w:val="lrTb"/>
            <w:noWrap w:val="false"/>
          </w:tcPr>
          <w:p>
            <w:pPr>
              <w:pStyle w:val="928"/>
              <w:ind w:firstLine="0"/>
              <w:jc w:val="center"/>
              <w:spacing w:before="0" w:beforeAutospacing="0" w:after="0" w:afterAutospacing="0" w:line="240" w:lineRule="auto"/>
              <w:rPr>
                <w:b/>
                <w:bCs/>
                <w:sz w:val="26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Дата и время регистрации заявки</w:t>
            </w:r>
            <w:r>
              <w:rPr>
                <w:b/>
                <w:bCs/>
                <w:sz w:val="26"/>
                <w:szCs w:val="26"/>
                <w:highlight w:val="white"/>
              </w:rPr>
            </w:r>
            <w:r>
              <w:rPr>
                <w:b/>
                <w:bCs/>
                <w:sz w:val="26"/>
                <w:szCs w:val="26"/>
                <w:highlight w:val="white"/>
              </w:rPr>
            </w:r>
          </w:p>
        </w:tc>
      </w:tr>
      <w:tr>
        <w:tblPrEx/>
        <w:trPr/>
        <w:tc>
          <w:tcPr>
            <w:tcW w:w="698" w:type="dxa"/>
            <w:vAlign w:val="center"/>
            <w:vMerge w:val="restart"/>
            <w:textDirection w:val="lrTb"/>
            <w:noWrap w:val="false"/>
          </w:tcPr>
          <w:p>
            <w:pPr>
              <w:pStyle w:val="928"/>
              <w:ind w:firstLine="0"/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sz w:val="26"/>
                <w:szCs w:val="26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1</w:t>
            </w:r>
            <w:r>
              <w:rPr>
                <w:sz w:val="26"/>
                <w:szCs w:val="26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</w:r>
          </w:p>
        </w:tc>
        <w:tc>
          <w:tcPr>
            <w:tcW w:w="4244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1" w:tooltip="https://tender.lot-online.ru/fx/gpms/ru.naumen.gpms.ui.published_jsp?uuid=corebo19718u80000pm0nngtsmcruf0g" w:history="1">
              <w:r>
                <w:rPr>
                  <w:rStyle w:val="941"/>
                  <w:rFonts w:ascii="Times New Roman" w:hAnsi="Times New Roman" w:eastAsia="Times New Roman" w:cs="Times New Roman"/>
                  <w:b/>
                  <w:bCs/>
                  <w:color w:val="000000" w:themeColor="text1"/>
                  <w:sz w:val="24"/>
                  <w:szCs w:val="24"/>
                  <w:u w:val="none"/>
                </w:rPr>
                <w:t xml:space="preserve">№ 449644</w:t>
              </w:r>
            </w:hyperlink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W w:w="5481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09.12.2025 14:55:29 MCK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40"/>
        <w:ind w:left="0"/>
        <w:spacing w:line="233" w:lineRule="auto"/>
        <w:tabs>
          <w:tab w:val="num" w:pos="567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rPr>
          <w:b/>
          <w:bCs/>
          <w:sz w:val="26"/>
          <w:szCs w:val="26"/>
          <w:highlight w:val="none"/>
          <w:u w:val="single"/>
        </w:rPr>
        <w:outlineLvl w:val="1"/>
      </w:pPr>
      <w:r>
        <w:rPr>
          <w:b/>
          <w:sz w:val="26"/>
          <w:szCs w:val="26"/>
          <w:u w:val="single"/>
        </w:rPr>
        <w:t xml:space="preserve">ВОПРОСЫ ЗАСЕДАНИЯ </w:t>
      </w:r>
      <w:r>
        <w:rPr>
          <w:b/>
          <w:sz w:val="26"/>
          <w:szCs w:val="26"/>
          <w:u w:val="single"/>
        </w:rPr>
        <w:t xml:space="preserve">ЗАКУПОЧНОЙ</w:t>
      </w:r>
      <w:r>
        <w:rPr>
          <w:b/>
          <w:sz w:val="26"/>
          <w:szCs w:val="26"/>
          <w:u w:val="single"/>
        </w:rPr>
        <w:t xml:space="preserve"> КОМИССИИ: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ind w:left="0" w:firstLine="0"/>
        <w:jc w:val="both"/>
        <w:spacing w:line="233" w:lineRule="auto"/>
        <w:widowControl w:val="off"/>
        <w:tabs>
          <w:tab w:val="left" w:pos="567" w:leader="none"/>
        </w:tabs>
        <w:rPr>
          <w:b/>
          <w:i/>
          <w:sz w:val="26"/>
          <w:szCs w:val="26"/>
        </w:rPr>
        <w:outlineLvl w:val="1"/>
      </w:pPr>
      <w:r>
        <w:rPr>
          <w:b/>
          <w:i/>
          <w:sz w:val="26"/>
          <w:szCs w:val="26"/>
        </w:rPr>
        <w:t xml:space="preserve">1. О рассмотрении</w:t>
      </w:r>
      <w:r>
        <w:rPr>
          <w:b/>
          <w:i/>
          <w:sz w:val="26"/>
          <w:szCs w:val="26"/>
        </w:rPr>
        <w:t xml:space="preserve"> предложений</w:t>
      </w:r>
      <w:r>
        <w:rPr>
          <w:b/>
          <w:i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 xml:space="preserve">у</w:t>
      </w:r>
      <w:r>
        <w:rPr>
          <w:b/>
          <w:i/>
          <w:sz w:val="26"/>
          <w:szCs w:val="26"/>
        </w:rPr>
        <w:t xml:space="preserve">частников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>
      <w:pPr>
        <w:ind w:left="0" w:firstLine="0"/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 w:val="0"/>
          <w:bCs w:val="0"/>
          <w:sz w:val="26"/>
          <w:szCs w:val="26"/>
          <w:highlight w:val="none"/>
        </w:rPr>
        <w:suppressLineNumbers w:val="0"/>
      </w:pPr>
      <w:r>
        <w:rPr>
          <w:b/>
          <w:bCs/>
          <w:sz w:val="26"/>
          <w:szCs w:val="26"/>
          <w:u w:val="single"/>
        </w:rPr>
      </w:r>
      <w:r>
        <w:rPr>
          <w:b w:val="0"/>
          <w:bCs w:val="0"/>
          <w:sz w:val="26"/>
          <w:szCs w:val="26"/>
        </w:rPr>
        <w:t xml:space="preserve">Утвердить результаты рассмотрения </w:t>
      </w:r>
      <w:r>
        <w:rPr>
          <w:b w:val="0"/>
          <w:bCs w:val="0"/>
          <w:sz w:val="26"/>
          <w:szCs w:val="26"/>
        </w:rPr>
        <w:t xml:space="preserve">предложений </w:t>
      </w:r>
      <w:r>
        <w:rPr>
          <w:b w:val="0"/>
          <w:bCs w:val="0"/>
          <w:sz w:val="26"/>
          <w:szCs w:val="26"/>
        </w:rPr>
        <w:t xml:space="preserve">участников</w:t>
      </w:r>
      <w:r>
        <w:rPr>
          <w:b w:val="0"/>
          <w:bCs w:val="0"/>
          <w:sz w:val="26"/>
          <w:szCs w:val="26"/>
        </w:rPr>
        <w:t xml:space="preserve">:</w:t>
      </w:r>
      <w:r>
        <w:rPr>
          <w:b w:val="0"/>
          <w:bCs w:val="0"/>
          <w:sz w:val="26"/>
          <w:szCs w:val="26"/>
          <w:highlight w:val="none"/>
        </w:rPr>
      </w:r>
      <w:r>
        <w:rPr>
          <w:b w:val="0"/>
          <w:bCs w:val="0"/>
          <w:sz w:val="26"/>
          <w:szCs w:val="26"/>
          <w:highlight w:val="none"/>
        </w:rPr>
      </w:r>
    </w:p>
    <w:tbl>
      <w:tblPr>
        <w:tblpPr w:horzAnchor="margin" w:tblpXSpec="left" w:vertAnchor="text" w:tblpY="1" w:leftFromText="181" w:topFromText="0" w:rightFromText="181" w:bottomFromText="0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7"/>
        <w:gridCol w:w="2111"/>
        <w:gridCol w:w="1729"/>
        <w:gridCol w:w="5791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7" w:type="dxa"/>
            <w:vAlign w:val="center"/>
            <w:textDirection w:val="lrTb"/>
            <w:noWrap w:val="false"/>
          </w:tcPr>
          <w:p>
            <w:pPr>
              <w:ind w:left="57" w:right="57" w:hanging="52"/>
              <w:jc w:val="center"/>
              <w:keepNext/>
              <w:spacing w:line="233" w:lineRule="auto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п/п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1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line="233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Рег. номер заявки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9" w:type="dxa"/>
            <w:vAlign w:val="center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33" w:lineRule="auto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Предлагаемое решение 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91" w:type="dxa"/>
            <w:vAlign w:val="center"/>
            <w:textDirection w:val="lrTb"/>
            <w:noWrap w:val="false"/>
          </w:tcPr>
          <w:p>
            <w:pPr>
              <w:ind w:left="57" w:right="57" w:firstLine="53"/>
              <w:jc w:val="center"/>
              <w:keepNext/>
              <w:spacing w:line="233" w:lineRule="auto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Обоснование решения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7" w:type="dxa"/>
            <w:vMerge w:val="restart"/>
            <w:textDirection w:val="lrTb"/>
            <w:noWrap w:val="false"/>
          </w:tcPr>
          <w:p>
            <w:pPr>
              <w:pStyle w:val="940"/>
              <w:numPr>
                <w:ilvl w:val="0"/>
                <w:numId w:val="36"/>
              </w:numPr>
              <w:ind w:left="142" w:firstLine="0"/>
              <w:jc w:val="center"/>
              <w:keepNext/>
              <w:spacing w:line="233" w:lineRule="auto"/>
              <w:tabs>
                <w:tab w:val="left" w:pos="285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1" w:type="dxa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2" w:tooltip="https://tender.lot-online.ru/fx/gpms/ru.naumen.gpms.ui.published_jsp?uuid=corebo19718u80000pm0nngtsmcruf0g" w:history="1">
              <w:r>
                <w:rPr>
                  <w:rStyle w:val="941"/>
                  <w:rFonts w:ascii="Times New Roman" w:hAnsi="Times New Roman" w:eastAsia="Times New Roman" w:cs="Times New Roman"/>
                  <w:b/>
                  <w:bCs/>
                  <w:color w:val="000000" w:themeColor="text1"/>
                  <w:sz w:val="24"/>
                  <w:szCs w:val="24"/>
                  <w:u w:val="none"/>
                </w:rPr>
                <w:t xml:space="preserve">№ 449644</w:t>
              </w:r>
            </w:hyperlink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29" w:type="dxa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widowControl w:val="off"/>
              <w:tabs>
                <w:tab w:val="left" w:pos="2085" w:leader="none"/>
              </w:tabs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  <w:highlight w:val="none"/>
              </w:rPr>
              <w:t xml:space="preserve">Отказать 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center"/>
              <w:spacing w:before="0" w:beforeAutospacing="0" w:after="0" w:afterAutospacing="0" w:line="240" w:lineRule="auto"/>
              <w:widowControl w:val="off"/>
              <w:tabs>
                <w:tab w:val="left" w:pos="2085" w:leader="none"/>
              </w:tabs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t xml:space="preserve">в рассмотрении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t xml:space="preserve">предварительное предложение участника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center"/>
              <w:spacing w:line="24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  <w:t xml:space="preserve">на основании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ind w:firstLine="0"/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п. 5.3.6 б) раздела I документации о закупке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ind w:firstLine="0"/>
              <w:jc w:val="center"/>
              <w:spacing w:before="0" w:beforeAutospacing="0" w:after="0" w:afterAutospacing="0" w:line="240" w:lineRule="auto"/>
              <w:widowControl w:val="off"/>
              <w:tabs>
                <w:tab w:val="left" w:pos="2085" w:leader="none"/>
              </w:tabs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91" w:type="dxa"/>
            <w:vMerge w:val="restart"/>
            <w:textDirection w:val="lrTb"/>
            <w:noWrap w:val="false"/>
          </w:tcPr>
          <w:p>
            <w:pPr>
              <w:ind w:firstLine="0"/>
              <w:jc w:val="both"/>
              <w:spacing w:before="0" w:beforeAutospacing="0" w:after="0" w:afterAutospacing="0" w:line="240" w:lineRule="auto"/>
              <w:widowControl w:val="off"/>
              <w:tabs>
                <w:tab w:val="left" w:pos="2085" w:leader="none"/>
              </w:tabs>
              <w:rPr>
                <w:rFonts w:ascii="Times New Roman" w:hAnsi="Times New Roman" w:eastAsia="Times New Roman" w:cs="Times New Roman"/>
                <w:color w:val="232627"/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</w:rPr>
              <w:t xml:space="preserve">Техническое предложение участника не соответствует требованиям техническ</w:t>
            </w:r>
            <w:r>
              <w:rPr>
                <w:sz w:val="24"/>
                <w:szCs w:val="24"/>
              </w:rPr>
              <w:t xml:space="preserve">ого задания заказчика, а именно </w:t>
            </w:r>
            <w:r>
              <w:rPr>
                <w:sz w:val="24"/>
                <w:szCs w:val="24"/>
              </w:rPr>
              <w:t xml:space="preserve">по позиции</w:t>
            </w:r>
            <w:r>
              <w:rPr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</w:rPr>
              <w:t xml:space="preserve">.74 согласно техническому заданию требуется к поставке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2627"/>
                <w:sz w:val="24"/>
              </w:rPr>
              <w:t xml:space="preserve">МУФТА 4ПСТБ-1-70/120, 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</w:rPr>
              <w:t xml:space="preserve"> Согласно п. 4.2. г) ГОСТ 34839-2022 буква «Б» в обозначении муфты обозначает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none"/>
                <w:lang w:eastAsia="ru-RU"/>
              </w:rPr>
              <w:t xml:space="preserve">для бронированных кабелей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2627"/>
                <w:sz w:val="24"/>
                <w:u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</w:rPr>
              <w:t xml:space="preserve"> Участником по п. 74 предложена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2627"/>
                <w:sz w:val="24"/>
              </w:rPr>
              <w:t xml:space="preserve">Муфта термоусаживаемая соединительная для кабеля с пластмассовой изоляцией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2627"/>
                <w:sz w:val="24"/>
                <w:u w:val="single"/>
              </w:rPr>
              <w:t xml:space="preserve">без брони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2627"/>
                <w:sz w:val="24"/>
              </w:rPr>
              <w:t xml:space="preserve"> на напряжение до 1 кВ включительно 4ПСТ-1-70...120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</w:rPr>
              <w:t xml:space="preserve">что не соответствует требованиям технического задания.</w:t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232627"/>
                <w:sz w:val="24"/>
                <w:szCs w:val="24"/>
              </w:rPr>
            </w:r>
          </w:p>
        </w:tc>
      </w:tr>
    </w:tbl>
    <w:p>
      <w:pPr>
        <w:pStyle w:val="928"/>
        <w:contextualSpacing/>
        <w:ind w:left="0" w:right="-24" w:firstLine="0"/>
        <w:spacing w:after="0" w:afterAutospacing="0" w:line="240" w:lineRule="auto"/>
        <w:widowControl w:val="off"/>
        <w:tabs>
          <w:tab w:val="left" w:pos="567" w:leader="none"/>
        </w:tabs>
        <w:rPr>
          <w:b/>
          <w:i/>
          <w:sz w:val="26"/>
          <w:szCs w:val="26"/>
        </w:rPr>
      </w:pPr>
      <w:r>
        <w:rPr>
          <w:b/>
          <w:i/>
          <w:sz w:val="26"/>
          <w:szCs w:val="26"/>
          <w:highlight w:val="none"/>
        </w:rPr>
        <w:t xml:space="preserve">2. </w:t>
      </w:r>
      <w:r>
        <w:rPr>
          <w:b/>
          <w:i/>
          <w:sz w:val="26"/>
          <w:szCs w:val="26"/>
        </w:rPr>
        <w:t xml:space="preserve">О признании закупки несостоявш</w:t>
      </w:r>
      <w:r>
        <w:rPr>
          <w:b/>
          <w:i/>
          <w:sz w:val="26"/>
          <w:szCs w:val="26"/>
        </w:rPr>
        <w:t xml:space="preserve">ей</w:t>
      </w:r>
      <w:r>
        <w:rPr>
          <w:b/>
          <w:i/>
          <w:sz w:val="26"/>
          <w:szCs w:val="26"/>
        </w:rPr>
        <w:t xml:space="preserve">ся</w:t>
      </w:r>
      <w:r>
        <w:rPr>
          <w:b/>
          <w:i/>
          <w:sz w:val="26"/>
          <w:szCs w:val="26"/>
        </w:rPr>
        <w:t xml:space="preserve">.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>
      <w:pPr>
        <w:ind w:firstLine="0"/>
        <w:jc w:val="both"/>
        <w:spacing w:after="0" w:afterAutospacing="0"/>
        <w:rPr>
          <w:b w:val="0"/>
          <w:bCs w:val="0"/>
          <w:i w:val="0"/>
          <w:sz w:val="26"/>
          <w:szCs w:val="26"/>
        </w:rPr>
      </w:pPr>
      <w:r>
        <w:rPr>
          <w:b w:val="0"/>
          <w:bCs w:val="0"/>
          <w:i w:val="0"/>
          <w:iCs w:val="0"/>
          <w:sz w:val="26"/>
          <w:szCs w:val="26"/>
        </w:rPr>
      </w:r>
      <w:r>
        <w:rPr>
          <w:b w:val="0"/>
          <w:bCs w:val="0"/>
          <w:i w:val="0"/>
          <w:iCs w:val="0"/>
          <w:sz w:val="26"/>
          <w:szCs w:val="26"/>
        </w:rPr>
        <w:t xml:space="preserve">На основании пункта 7.5.1 Единого Стандарта закупок ПАО «Россети»</w:t>
      </w:r>
      <w:r>
        <w:rPr>
          <w:b w:val="0"/>
          <w:bCs w:val="0"/>
          <w:i w:val="0"/>
          <w:iCs w:val="0"/>
        </w:rPr>
        <w:t xml:space="preserve"> </w:t>
      </w:r>
      <w:bookmarkStart w:id="4" w:name="_Ref510770463"/>
      <w:r>
        <w:rPr>
          <w:b w:val="0"/>
          <w:bCs w:val="0"/>
          <w:i w:val="0"/>
          <w:iCs w:val="0"/>
          <w:sz w:val="26"/>
          <w:szCs w:val="26"/>
        </w:rPr>
        <w:t xml:space="preserve">б) если по результатам рассмотрения заявок принято решение об отказе в допуске всем участникам закупки, подавшим заявки, признать закупку несостоявшейся.</w:t>
      </w:r>
      <w:bookmarkEnd w:id="4"/>
      <w:r>
        <w:rPr>
          <w:b w:val="0"/>
          <w:bCs w:val="0"/>
          <w:i w:val="0"/>
          <w:sz w:val="26"/>
          <w:szCs w:val="26"/>
        </w:rPr>
      </w:r>
      <w:r>
        <w:rPr>
          <w:b w:val="0"/>
          <w:bCs w:val="0"/>
          <w:i w:val="0"/>
          <w:sz w:val="26"/>
          <w:szCs w:val="26"/>
        </w:rPr>
      </w:r>
    </w:p>
    <w:p>
      <w:pPr>
        <w:contextualSpacing/>
        <w:ind w:firstLine="0"/>
        <w:jc w:val="both"/>
        <w:spacing w:line="240" w:lineRule="auto"/>
        <w:widowControl w:val="off"/>
        <w:tabs>
          <w:tab w:val="left" w:pos="567" w:leader="none"/>
        </w:tabs>
        <w:rPr>
          <w:bCs/>
          <w:i/>
        </w:rPr>
      </w:pPr>
      <w:r>
        <w:rPr>
          <w:b/>
          <w:bCs/>
          <w:i/>
          <w:iCs/>
          <w:sz w:val="26"/>
          <w:szCs w:val="26"/>
        </w:rPr>
        <w:t xml:space="preserve">3.</w:t>
      </w:r>
      <w:r>
        <w:rPr>
          <w:i/>
          <w:iCs/>
          <w:sz w:val="26"/>
          <w:szCs w:val="26"/>
        </w:rPr>
        <w:tab/>
      </w:r>
      <w:r>
        <w:rPr>
          <w:b/>
          <w:bCs/>
          <w:i/>
          <w:iCs/>
          <w:sz w:val="26"/>
          <w:szCs w:val="26"/>
        </w:rPr>
        <w:t xml:space="preserve">О проведении повторной закупки.</w:t>
      </w:r>
      <w:r>
        <w:rPr>
          <w:bCs/>
          <w:i/>
        </w:rPr>
      </w:r>
      <w:r>
        <w:rPr>
          <w:bCs/>
          <w:i/>
        </w:rPr>
      </w:r>
    </w:p>
    <w:p>
      <w:pPr>
        <w:contextualSpacing/>
        <w:ind w:firstLine="0"/>
        <w:jc w:val="both"/>
        <w:spacing w:line="240" w:lineRule="auto"/>
        <w:widowControl w:val="off"/>
        <w:tabs>
          <w:tab w:val="left" w:pos="567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Провести повторную закупку таким же способом с изменением либо без изменения условий закупки (не считая сроков проведения закупки).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contextualSpacing/>
        <w:spacing w:line="240" w:lineRule="auto"/>
        <w:widowControl w:val="off"/>
        <w:tabs>
          <w:tab w:val="num" w:pos="709" w:leader="none"/>
        </w:tabs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left="0" w:firstLine="0"/>
        <w:jc w:val="both"/>
        <w:tabs>
          <w:tab w:val="left" w:pos="567" w:leader="none"/>
          <w:tab w:val="left" w:pos="1134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contextualSpacing/>
        <w:jc w:val="both"/>
        <w:tabs>
          <w:tab w:val="left" w:pos="426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ПУБЛИКАЦИЯ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both"/>
        <w:tabs>
          <w:tab w:val="left" w:pos="284" w:leader="none"/>
        </w:tabs>
        <w:rPr>
          <w:sz w:val="26"/>
          <w:szCs w:val="26"/>
        </w:rPr>
        <w:outlineLvl w:val="0"/>
      </w:pPr>
      <w:r>
        <w:rPr>
          <w:sz w:val="26"/>
          <w:szCs w:val="26"/>
        </w:rPr>
        <w:t xml:space="preserve">Настоящий протокол заседания </w:t>
      </w:r>
      <w:r>
        <w:rPr>
          <w:sz w:val="26"/>
          <w:szCs w:val="26"/>
        </w:rPr>
        <w:t xml:space="preserve">з</w:t>
      </w:r>
      <w:r>
        <w:rPr>
          <w:sz w:val="26"/>
          <w:szCs w:val="26"/>
        </w:rPr>
        <w:t xml:space="preserve">акупочной комиссии подлежит опубликованию: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0"/>
          <w:numId w:val="10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shd w:val="clear" w:color="auto" w:fill="ffffff"/>
        </w:rPr>
        <w:t xml:space="preserve">в ЕИС на сайте «www.z</w:t>
      </w:r>
      <w:r>
        <w:rPr>
          <w:sz w:val="26"/>
          <w:szCs w:val="26"/>
          <w:highlight w:val="white"/>
          <w:shd w:val="clear" w:color="auto" w:fill="ffffff"/>
        </w:rPr>
        <w:t xml:space="preserve">akupki.gov.ru»</w:t>
      </w:r>
      <w:r>
        <w:rPr>
          <w:sz w:val="26"/>
          <w:szCs w:val="26"/>
          <w:highlight w:val="white"/>
          <w:shd w:val="clear" w:color="auto" w:fill="ffffff"/>
        </w:rPr>
        <w:t xml:space="preserve">;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numPr>
          <w:ilvl w:val="0"/>
          <w:numId w:val="10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сайте электронной торговой площадки</w:t>
      </w:r>
      <w:r>
        <w:rPr>
          <w:sz w:val="26"/>
          <w:szCs w:val="26"/>
          <w:highlight w:val="white"/>
          <w:shd w:val="clear" w:color="auto" w:fill="ffffff"/>
        </w:rPr>
        <w:t xml:space="preserve"> </w:t>
      </w:r>
      <w:r>
        <w:rPr>
          <w:sz w:val="26"/>
          <w:szCs w:val="26"/>
          <w:highlight w:val="white"/>
          <w:shd w:val="clear" w:color="auto" w:fill="ffffff"/>
        </w:rPr>
        <w:t xml:space="preserve">«</w:t>
      </w:r>
      <w:r>
        <w:rPr>
          <w:sz w:val="26"/>
          <w:szCs w:val="26"/>
          <w:highlight w:val="white"/>
          <w:shd w:val="clear" w:color="auto" w:fill="ffffff"/>
        </w:rPr>
        <w:t xml:space="preserve">https://tender.lot-online.ru</w:t>
      </w:r>
      <w:r>
        <w:rPr>
          <w:bCs/>
          <w:sz w:val="26"/>
          <w:szCs w:val="26"/>
          <w:highlight w:val="white"/>
        </w:rPr>
        <w:t xml:space="preserve">»</w:t>
      </w:r>
      <w:r>
        <w:rPr>
          <w:bCs/>
          <w:sz w:val="26"/>
          <w:szCs w:val="26"/>
          <w:highlight w:val="white"/>
        </w:rPr>
        <w:t xml:space="preserve">;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не позднее чем через</w:t>
      </w:r>
      <w:r>
        <w:rPr>
          <w:b/>
          <w:sz w:val="26"/>
          <w:szCs w:val="26"/>
        </w:rPr>
        <w:t xml:space="preserve"> три дня</w:t>
      </w:r>
      <w:r>
        <w:rPr>
          <w:sz w:val="26"/>
          <w:szCs w:val="26"/>
        </w:rPr>
        <w:t xml:space="preserve"> со дня его подписания.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567"/>
        <w:jc w:val="both"/>
        <w:tabs>
          <w:tab w:val="left" w:pos="851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567"/>
        <w:jc w:val="both"/>
        <w:tabs>
          <w:tab w:val="left" w:pos="851" w:leader="none"/>
        </w:tabs>
        <w:rPr>
          <w:sz w:val="26"/>
          <w:szCs w:val="26"/>
        </w:rPr>
      </w:pPr>
      <w:r>
        <w:rPr>
          <w:sz w:val="26"/>
          <w:szCs w:val="26"/>
        </w:rPr>
      </w:r>
      <w:r/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widowControl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ПРОТОКОЛ ПОДПИСАЛИ: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tbl>
      <w:tblPr>
        <w:tblW w:w="10065" w:type="dxa"/>
        <w:tblLayout w:type="fixed"/>
        <w:tblLook w:val="04A0" w:firstRow="1" w:lastRow="0" w:firstColumn="1" w:lastColumn="0" w:noHBand="0" w:noVBand="1"/>
      </w:tblPr>
      <w:tblGrid>
        <w:gridCol w:w="4395"/>
        <w:gridCol w:w="3366"/>
        <w:gridCol w:w="2304"/>
      </w:tblGrid>
      <w:tr>
        <w:tblPrEx/>
        <w:trPr/>
        <w:tc>
          <w:tcPr>
            <w:shd w:val="clear" w:color="auto" w:fill="auto"/>
            <w:tcW w:w="4395" w:type="dxa"/>
            <w:vAlign w:val="center"/>
            <w:textDirection w:val="lrTb"/>
            <w:noWrap w:val="false"/>
          </w:tcPr>
          <w:p>
            <w:pPr>
              <w:keepNext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Ответственный секретарь постоянно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действующей Закупочной комиссии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(без права голоса):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3366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304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Л.В. Мацебурский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</w:r>
      <w:r/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180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rinda">
    <w:panose1 w:val="020B05020405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16140257"/>
      <w:docPartObj>
        <w:docPartGallery w:val="Page Numbers (Bottom of Page)"/>
        <w:docPartUnique w:val="true"/>
      </w:docPartObj>
      <w:rPr>
        <w:i/>
        <w:color w:val="4f81bd" w:themeColor="accent1"/>
      </w:rPr>
    </w:sdtPr>
    <w:sdtContent>
      <w:p>
        <w:pPr>
          <w:pStyle w:val="947"/>
          <w:jc w:val="right"/>
          <w:rPr>
            <w:color w:val="000000" w:themeColor="text1"/>
          </w:rPr>
          <w:pBdr>
            <w:top w:val="single" w:color="000000" w:sz="4" w:space="1"/>
          </w:pBdr>
        </w:pPr>
        <w:r>
          <w:rPr>
            <w:i/>
            <w:color w:val="000000" w:themeColor="text1"/>
          </w:rPr>
          <w:t xml:space="preserve">стр.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PAGE   \* MERGEFORMAT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2</w:t>
        </w:r>
        <w:r>
          <w:rPr>
            <w:i/>
            <w:color w:val="000000" w:themeColor="text1"/>
          </w:rPr>
          <w:fldChar w:fldCharType="end"/>
        </w:r>
        <w:r>
          <w:rPr>
            <w:i/>
            <w:color w:val="000000" w:themeColor="text1"/>
          </w:rPr>
          <w:t xml:space="preserve"> из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 NUMPAGES   \* MERGEFORMAT 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4</w:t>
        </w:r>
        <w:r>
          <w:rPr>
            <w:i/>
            <w:color w:val="000000" w:themeColor="text1"/>
          </w:rPr>
          <w:fldChar w:fldCharType="end"/>
        </w:r>
        <w:r>
          <w:rPr>
            <w:color w:val="000000" w:themeColor="text1"/>
          </w:rPr>
        </w:r>
        <w:r>
          <w:rPr>
            <w:color w:val="000000" w:themeColor="text1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*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2204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1.%2"/>
      <w:lvlJc w:val="left"/>
      <w:pPr>
        <w:ind w:left="987" w:hanging="420"/>
      </w:pPr>
      <w:rPr>
        <w:rFonts w:hint="default"/>
        <w:b/>
        <w:i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858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i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</w:rPr>
    </w:lvl>
    <w:lvl w:ilvl="1">
      <w:start w:val="1"/>
      <w:numFmt w:val="decimal"/>
      <w:isLgl/>
      <w:suff w:val="tab"/>
      <w:lvlText w:val="%1.%2."/>
      <w:lvlJc w:val="left"/>
      <w:pPr>
        <w:ind w:left="3808" w:hanging="720"/>
      </w:pPr>
      <w:rPr>
        <w:rFonts w:hint="default"/>
        <w:b/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6329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9210" w:hanging="1080"/>
      </w:pPr>
      <w:rPr>
        <w:rFonts w:hint="default"/>
        <w:b w:val="0"/>
      </w:rPr>
    </w:lvl>
    <w:lvl w:ilvl="4">
      <w:start w:val="1"/>
      <w:numFmt w:val="decimal"/>
      <w:isLgl/>
      <w:suff w:val="tab"/>
      <w:lvlText w:val="%1.%2.%3.%4.%5."/>
      <w:lvlJc w:val="left"/>
      <w:pPr>
        <w:ind w:left="11731" w:hanging="1080"/>
      </w:pPr>
      <w:rPr>
        <w:rFonts w:hint="default"/>
        <w:b w:val="0"/>
      </w:rPr>
    </w:lvl>
    <w:lvl w:ilvl="5">
      <w:start w:val="1"/>
      <w:numFmt w:val="decimal"/>
      <w:isLgl/>
      <w:suff w:val="tab"/>
      <w:lvlText w:val="%1.%2.%3.%4.%5.%6."/>
      <w:lvlJc w:val="left"/>
      <w:pPr>
        <w:ind w:left="14612" w:hanging="1440"/>
      </w:pPr>
      <w:rPr>
        <w:rFonts w:hint="default"/>
        <w:b w:val="0"/>
      </w:rPr>
    </w:lvl>
    <w:lvl w:ilvl="6">
      <w:start w:val="1"/>
      <w:numFmt w:val="decimal"/>
      <w:isLgl/>
      <w:suff w:val="tab"/>
      <w:lvlText w:val="%1.%2.%3.%4.%5.%6.%7."/>
      <w:lvlJc w:val="left"/>
      <w:pPr>
        <w:ind w:left="17133" w:hanging="1440"/>
      </w:pPr>
      <w:rPr>
        <w:rFonts w:hint="default"/>
        <w:b w:val="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0014" w:hanging="1800"/>
      </w:pPr>
      <w:rPr>
        <w:rFonts w:hint="default"/>
        <w:b w:val="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535" w:hanging="1800"/>
      </w:pPr>
      <w:rPr>
        <w:rFonts w:hint="default"/>
        <w:b w:val="0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8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0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25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2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egacy w:legacy="1" w:legacyIndent="389" w:legacySpace="0"/>
      <w:lvlJc w:val="left"/>
      <w:pPr/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2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854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80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31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32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  <w:lvlOverride w:ilvl="0">
      <w:lvl w:ilvl="0">
        <w:start w:val="65535"/>
        <w:numFmt w:val="bullet"/>
        <w:isLgl w:val="false"/>
        <w:suff w:val="tab"/>
        <w:lvlText w:val="-"/>
        <w:legacy w:legacy="1" w:legacyIndent="180" w:legacySpace="0"/>
        <w:lvlJc w:val="left"/>
        <w:pPr/>
        <w:rPr>
          <w:rFonts w:hint="default" w:ascii="Times New Roman" w:hAnsi="Times New Roman" w:cs="Times New Roman"/>
        </w:rPr>
      </w:lvl>
    </w:lvlOverride>
  </w:num>
  <w:num w:numId="3">
    <w:abstractNumId w:val="11"/>
  </w:num>
  <w:num w:numId="4">
    <w:abstractNumId w:val="16"/>
  </w:num>
  <w:num w:numId="5">
    <w:abstractNumId w:val="1"/>
  </w:num>
  <w:num w:numId="6">
    <w:abstractNumId w:val="13"/>
  </w:num>
  <w:num w:numId="7">
    <w:abstractNumId w:val="8"/>
  </w:num>
  <w:num w:numId="8">
    <w:abstractNumId w:val="19"/>
  </w:num>
  <w:num w:numId="9">
    <w:abstractNumId w:val="20"/>
  </w:num>
  <w:num w:numId="10">
    <w:abstractNumId w:val="9"/>
  </w:num>
  <w:num w:numId="11">
    <w:abstractNumId w:val="28"/>
  </w:num>
  <w:num w:numId="12">
    <w:abstractNumId w:val="17"/>
  </w:num>
  <w:num w:numId="13">
    <w:abstractNumId w:val="6"/>
  </w:num>
  <w:num w:numId="14">
    <w:abstractNumId w:val="4"/>
  </w:num>
  <w:num w:numId="15">
    <w:abstractNumId w:val="21"/>
  </w:num>
  <w:num w:numId="16">
    <w:abstractNumId w:val="14"/>
  </w:num>
  <w:num w:numId="17">
    <w:abstractNumId w:val="2"/>
  </w:num>
  <w:num w:numId="18">
    <w:abstractNumId w:val="24"/>
  </w:num>
  <w:num w:numId="19">
    <w:abstractNumId w:val="15"/>
  </w:num>
  <w:num w:numId="20">
    <w:abstractNumId w:val="23"/>
  </w:num>
  <w:num w:numId="21">
    <w:abstractNumId w:val="10"/>
  </w:num>
  <w:num w:numId="22">
    <w:abstractNumId w:val="3"/>
  </w:num>
  <w:num w:numId="23">
    <w:abstractNumId w:val="26"/>
  </w:num>
  <w:num w:numId="24">
    <w:abstractNumId w:val="27"/>
  </w:num>
  <w:num w:numId="25">
    <w:abstractNumId w:val="7"/>
  </w:num>
  <w:num w:numId="26">
    <w:abstractNumId w:val="25"/>
  </w:num>
  <w:num w:numId="27">
    <w:abstractNumId w:val="29"/>
  </w:num>
  <w:num w:numId="28">
    <w:abstractNumId w:val="5"/>
  </w:num>
  <w:num w:numId="29">
    <w:abstractNumId w:val="12"/>
  </w:num>
  <w:num w:numId="30">
    <w:abstractNumId w:val="22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7">
    <w:name w:val="Heading 1 Char"/>
    <w:basedOn w:val="931"/>
    <w:link w:val="929"/>
    <w:uiPriority w:val="9"/>
    <w:rPr>
      <w:rFonts w:ascii="Arial" w:hAnsi="Arial" w:eastAsia="Arial" w:cs="Arial"/>
      <w:sz w:val="40"/>
      <w:szCs w:val="40"/>
    </w:rPr>
  </w:style>
  <w:style w:type="paragraph" w:styleId="758">
    <w:name w:val="Heading 2"/>
    <w:basedOn w:val="928"/>
    <w:next w:val="928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9">
    <w:name w:val="Heading 2 Char"/>
    <w:basedOn w:val="931"/>
    <w:link w:val="758"/>
    <w:uiPriority w:val="9"/>
    <w:rPr>
      <w:rFonts w:ascii="Arial" w:hAnsi="Arial" w:eastAsia="Arial" w:cs="Arial"/>
      <w:sz w:val="34"/>
    </w:rPr>
  </w:style>
  <w:style w:type="character" w:styleId="760">
    <w:name w:val="Heading 3 Char"/>
    <w:basedOn w:val="931"/>
    <w:link w:val="930"/>
    <w:uiPriority w:val="9"/>
    <w:rPr>
      <w:rFonts w:ascii="Arial" w:hAnsi="Arial" w:eastAsia="Arial" w:cs="Arial"/>
      <w:sz w:val="30"/>
      <w:szCs w:val="30"/>
    </w:rPr>
  </w:style>
  <w:style w:type="paragraph" w:styleId="761">
    <w:name w:val="Heading 4"/>
    <w:basedOn w:val="928"/>
    <w:next w:val="928"/>
    <w:link w:val="76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2">
    <w:name w:val="Heading 4 Char"/>
    <w:basedOn w:val="931"/>
    <w:link w:val="761"/>
    <w:uiPriority w:val="9"/>
    <w:rPr>
      <w:rFonts w:ascii="Arial" w:hAnsi="Arial" w:eastAsia="Arial" w:cs="Arial"/>
      <w:b/>
      <w:bCs/>
      <w:sz w:val="26"/>
      <w:szCs w:val="26"/>
    </w:rPr>
  </w:style>
  <w:style w:type="paragraph" w:styleId="763">
    <w:name w:val="Heading 5"/>
    <w:basedOn w:val="928"/>
    <w:next w:val="928"/>
    <w:link w:val="76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4">
    <w:name w:val="Heading 5 Char"/>
    <w:basedOn w:val="931"/>
    <w:link w:val="763"/>
    <w:uiPriority w:val="9"/>
    <w:rPr>
      <w:rFonts w:ascii="Arial" w:hAnsi="Arial" w:eastAsia="Arial" w:cs="Arial"/>
      <w:b/>
      <w:bCs/>
      <w:sz w:val="24"/>
      <w:szCs w:val="24"/>
    </w:rPr>
  </w:style>
  <w:style w:type="paragraph" w:styleId="765">
    <w:name w:val="Heading 6"/>
    <w:basedOn w:val="928"/>
    <w:next w:val="928"/>
    <w:link w:val="76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6">
    <w:name w:val="Heading 6 Char"/>
    <w:basedOn w:val="931"/>
    <w:link w:val="765"/>
    <w:uiPriority w:val="9"/>
    <w:rPr>
      <w:rFonts w:ascii="Arial" w:hAnsi="Arial" w:eastAsia="Arial" w:cs="Arial"/>
      <w:b/>
      <w:bCs/>
      <w:sz w:val="22"/>
      <w:szCs w:val="22"/>
    </w:rPr>
  </w:style>
  <w:style w:type="paragraph" w:styleId="767">
    <w:name w:val="Heading 7"/>
    <w:basedOn w:val="928"/>
    <w:next w:val="928"/>
    <w:link w:val="7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8">
    <w:name w:val="Heading 7 Char"/>
    <w:basedOn w:val="931"/>
    <w:link w:val="7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9">
    <w:name w:val="Heading 8"/>
    <w:basedOn w:val="928"/>
    <w:next w:val="928"/>
    <w:link w:val="77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0">
    <w:name w:val="Heading 8 Char"/>
    <w:basedOn w:val="931"/>
    <w:link w:val="769"/>
    <w:uiPriority w:val="9"/>
    <w:rPr>
      <w:rFonts w:ascii="Arial" w:hAnsi="Arial" w:eastAsia="Arial" w:cs="Arial"/>
      <w:i/>
      <w:iCs/>
      <w:sz w:val="22"/>
      <w:szCs w:val="22"/>
    </w:rPr>
  </w:style>
  <w:style w:type="paragraph" w:styleId="771">
    <w:name w:val="Heading 9"/>
    <w:basedOn w:val="928"/>
    <w:next w:val="928"/>
    <w:link w:val="77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2">
    <w:name w:val="Heading 9 Char"/>
    <w:basedOn w:val="931"/>
    <w:link w:val="771"/>
    <w:uiPriority w:val="9"/>
    <w:rPr>
      <w:rFonts w:ascii="Arial" w:hAnsi="Arial" w:eastAsia="Arial" w:cs="Arial"/>
      <w:i/>
      <w:iCs/>
      <w:sz w:val="21"/>
      <w:szCs w:val="21"/>
    </w:rPr>
  </w:style>
  <w:style w:type="paragraph" w:styleId="773">
    <w:name w:val="No Spacing"/>
    <w:uiPriority w:val="1"/>
    <w:qFormat/>
    <w:pPr>
      <w:spacing w:before="0" w:after="0" w:line="240" w:lineRule="auto"/>
    </w:pPr>
  </w:style>
  <w:style w:type="paragraph" w:styleId="774">
    <w:name w:val="Title"/>
    <w:basedOn w:val="928"/>
    <w:next w:val="928"/>
    <w:link w:val="7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5">
    <w:name w:val="Title Char"/>
    <w:basedOn w:val="931"/>
    <w:link w:val="774"/>
    <w:uiPriority w:val="10"/>
    <w:rPr>
      <w:sz w:val="48"/>
      <w:szCs w:val="48"/>
    </w:rPr>
  </w:style>
  <w:style w:type="paragraph" w:styleId="776">
    <w:name w:val="Subtitle"/>
    <w:basedOn w:val="928"/>
    <w:next w:val="928"/>
    <w:link w:val="777"/>
    <w:uiPriority w:val="11"/>
    <w:qFormat/>
    <w:pPr>
      <w:spacing w:before="200" w:after="200"/>
    </w:pPr>
    <w:rPr>
      <w:sz w:val="24"/>
      <w:szCs w:val="24"/>
    </w:rPr>
  </w:style>
  <w:style w:type="character" w:styleId="777">
    <w:name w:val="Subtitle Char"/>
    <w:basedOn w:val="931"/>
    <w:link w:val="776"/>
    <w:uiPriority w:val="11"/>
    <w:rPr>
      <w:sz w:val="24"/>
      <w:szCs w:val="24"/>
    </w:rPr>
  </w:style>
  <w:style w:type="paragraph" w:styleId="778">
    <w:name w:val="Quote"/>
    <w:basedOn w:val="928"/>
    <w:next w:val="928"/>
    <w:link w:val="779"/>
    <w:uiPriority w:val="29"/>
    <w:qFormat/>
    <w:pPr>
      <w:ind w:left="720" w:right="720"/>
    </w:pPr>
    <w:rPr>
      <w:i/>
    </w:rPr>
  </w:style>
  <w:style w:type="character" w:styleId="779">
    <w:name w:val="Quote Char"/>
    <w:link w:val="778"/>
    <w:uiPriority w:val="29"/>
    <w:rPr>
      <w:i/>
    </w:rPr>
  </w:style>
  <w:style w:type="paragraph" w:styleId="780">
    <w:name w:val="Intense Quote"/>
    <w:basedOn w:val="928"/>
    <w:next w:val="928"/>
    <w:link w:val="7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1">
    <w:name w:val="Intense Quote Char"/>
    <w:link w:val="780"/>
    <w:uiPriority w:val="30"/>
    <w:rPr>
      <w:i/>
    </w:rPr>
  </w:style>
  <w:style w:type="character" w:styleId="782">
    <w:name w:val="Header Char"/>
    <w:basedOn w:val="931"/>
    <w:link w:val="945"/>
    <w:uiPriority w:val="99"/>
  </w:style>
  <w:style w:type="character" w:styleId="783">
    <w:name w:val="Footer Char"/>
    <w:basedOn w:val="931"/>
    <w:link w:val="947"/>
    <w:uiPriority w:val="99"/>
  </w:style>
  <w:style w:type="paragraph" w:styleId="784">
    <w:name w:val="Caption"/>
    <w:basedOn w:val="928"/>
    <w:next w:val="928"/>
    <w:link w:val="7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basedOn w:val="784"/>
    <w:link w:val="947"/>
    <w:uiPriority w:val="99"/>
  </w:style>
  <w:style w:type="table" w:styleId="786">
    <w:name w:val="Table Grid Light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Plain Table 1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8">
    <w:name w:val="Plain Table 2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0">
    <w:name w:val="Plain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Plain Table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2">
    <w:name w:val="Grid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4">
    <w:name w:val="Grid Table 4 - Accent 1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5">
    <w:name w:val="Grid Table 4 - Accent 2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Grid Table 4 - Accent 3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7">
    <w:name w:val="Grid Table 4 - Accent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Grid Table 4 - Accent 5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9">
    <w:name w:val="Grid Table 4 - Accent 6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0">
    <w:name w:val="Grid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1">
    <w:name w:val="Grid Table 5 Dark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4">
    <w:name w:val="Grid Table 5 Dark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7">
    <w:name w:val="Grid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8">
    <w:name w:val="Grid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9">
    <w:name w:val="Grid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0">
    <w:name w:val="Grid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1">
    <w:name w:val="Grid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2">
    <w:name w:val="Grid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3">
    <w:name w:val="Grid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9">
    <w:name w:val="List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0">
    <w:name w:val="List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1">
    <w:name w:val="List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2">
    <w:name w:val="List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3">
    <w:name w:val="List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4">
    <w:name w:val="List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5">
    <w:name w:val="List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7">
    <w:name w:val="List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8">
    <w:name w:val="List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9">
    <w:name w:val="List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0">
    <w:name w:val="List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1">
    <w:name w:val="List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2">
    <w:name w:val="List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3">
    <w:name w:val="List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4">
    <w:name w:val="List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5">
    <w:name w:val="List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6">
    <w:name w:val="List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7">
    <w:name w:val="List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8">
    <w:name w:val="List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9">
    <w:name w:val="List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0">
    <w:name w:val="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1">
    <w:name w:val="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2">
    <w:name w:val="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3">
    <w:name w:val="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4">
    <w:name w:val="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5">
    <w:name w:val="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6">
    <w:name w:val="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7">
    <w:name w:val="Bordered &amp; 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8">
    <w:name w:val="Bordered &amp; 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9">
    <w:name w:val="Bordered &amp; 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0">
    <w:name w:val="Bordered &amp; 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1">
    <w:name w:val="Bordered &amp; 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2">
    <w:name w:val="Bordered &amp; 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3">
    <w:name w:val="Bordered &amp; 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4">
    <w:name w:val="Bordered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5">
    <w:name w:val="Bordered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6">
    <w:name w:val="Bordered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7">
    <w:name w:val="Bordered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8">
    <w:name w:val="Bordered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9">
    <w:name w:val="Bordered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0">
    <w:name w:val="Bordered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11">
    <w:name w:val="footnote text"/>
    <w:basedOn w:val="928"/>
    <w:link w:val="912"/>
    <w:uiPriority w:val="99"/>
    <w:semiHidden/>
    <w:unhideWhenUsed/>
    <w:pPr>
      <w:spacing w:after="40" w:line="240" w:lineRule="auto"/>
    </w:pPr>
    <w:rPr>
      <w:sz w:val="18"/>
    </w:rPr>
  </w:style>
  <w:style w:type="character" w:styleId="912">
    <w:name w:val="Footnote Text Char"/>
    <w:link w:val="911"/>
    <w:uiPriority w:val="99"/>
    <w:rPr>
      <w:sz w:val="18"/>
    </w:rPr>
  </w:style>
  <w:style w:type="character" w:styleId="913">
    <w:name w:val="footnote reference"/>
    <w:basedOn w:val="931"/>
    <w:uiPriority w:val="99"/>
    <w:unhideWhenUsed/>
    <w:rPr>
      <w:vertAlign w:val="superscript"/>
    </w:rPr>
  </w:style>
  <w:style w:type="paragraph" w:styleId="914">
    <w:name w:val="endnote text"/>
    <w:basedOn w:val="928"/>
    <w:link w:val="915"/>
    <w:uiPriority w:val="99"/>
    <w:semiHidden/>
    <w:unhideWhenUsed/>
    <w:pPr>
      <w:spacing w:after="0" w:line="240" w:lineRule="auto"/>
    </w:pPr>
    <w:rPr>
      <w:sz w:val="20"/>
    </w:rPr>
  </w:style>
  <w:style w:type="character" w:styleId="915">
    <w:name w:val="Endnote Text Char"/>
    <w:link w:val="914"/>
    <w:uiPriority w:val="99"/>
    <w:rPr>
      <w:sz w:val="20"/>
    </w:rPr>
  </w:style>
  <w:style w:type="character" w:styleId="916">
    <w:name w:val="endnote reference"/>
    <w:basedOn w:val="931"/>
    <w:uiPriority w:val="99"/>
    <w:semiHidden/>
    <w:unhideWhenUsed/>
    <w:rPr>
      <w:vertAlign w:val="superscript"/>
    </w:rPr>
  </w:style>
  <w:style w:type="paragraph" w:styleId="917">
    <w:name w:val="toc 1"/>
    <w:basedOn w:val="928"/>
    <w:next w:val="928"/>
    <w:uiPriority w:val="39"/>
    <w:unhideWhenUsed/>
    <w:pPr>
      <w:ind w:left="0" w:right="0" w:firstLine="0"/>
      <w:spacing w:after="57"/>
    </w:pPr>
  </w:style>
  <w:style w:type="paragraph" w:styleId="918">
    <w:name w:val="toc 2"/>
    <w:basedOn w:val="928"/>
    <w:next w:val="928"/>
    <w:uiPriority w:val="39"/>
    <w:unhideWhenUsed/>
    <w:pPr>
      <w:ind w:left="283" w:right="0" w:firstLine="0"/>
      <w:spacing w:after="57"/>
    </w:pPr>
  </w:style>
  <w:style w:type="paragraph" w:styleId="919">
    <w:name w:val="toc 3"/>
    <w:basedOn w:val="928"/>
    <w:next w:val="928"/>
    <w:uiPriority w:val="39"/>
    <w:unhideWhenUsed/>
    <w:pPr>
      <w:ind w:left="567" w:right="0" w:firstLine="0"/>
      <w:spacing w:after="57"/>
    </w:pPr>
  </w:style>
  <w:style w:type="paragraph" w:styleId="920">
    <w:name w:val="toc 4"/>
    <w:basedOn w:val="928"/>
    <w:next w:val="928"/>
    <w:uiPriority w:val="39"/>
    <w:unhideWhenUsed/>
    <w:pPr>
      <w:ind w:left="850" w:right="0" w:firstLine="0"/>
      <w:spacing w:after="57"/>
    </w:pPr>
  </w:style>
  <w:style w:type="paragraph" w:styleId="921">
    <w:name w:val="toc 5"/>
    <w:basedOn w:val="928"/>
    <w:next w:val="928"/>
    <w:uiPriority w:val="39"/>
    <w:unhideWhenUsed/>
    <w:pPr>
      <w:ind w:left="1134" w:right="0" w:firstLine="0"/>
      <w:spacing w:after="57"/>
    </w:pPr>
  </w:style>
  <w:style w:type="paragraph" w:styleId="922">
    <w:name w:val="toc 6"/>
    <w:basedOn w:val="928"/>
    <w:next w:val="928"/>
    <w:uiPriority w:val="39"/>
    <w:unhideWhenUsed/>
    <w:pPr>
      <w:ind w:left="1417" w:right="0" w:firstLine="0"/>
      <w:spacing w:after="57"/>
    </w:pPr>
  </w:style>
  <w:style w:type="paragraph" w:styleId="923">
    <w:name w:val="toc 7"/>
    <w:basedOn w:val="928"/>
    <w:next w:val="928"/>
    <w:uiPriority w:val="39"/>
    <w:unhideWhenUsed/>
    <w:pPr>
      <w:ind w:left="1701" w:right="0" w:firstLine="0"/>
      <w:spacing w:after="57"/>
    </w:pPr>
  </w:style>
  <w:style w:type="paragraph" w:styleId="924">
    <w:name w:val="toc 8"/>
    <w:basedOn w:val="928"/>
    <w:next w:val="928"/>
    <w:uiPriority w:val="39"/>
    <w:unhideWhenUsed/>
    <w:pPr>
      <w:ind w:left="1984" w:right="0" w:firstLine="0"/>
      <w:spacing w:after="57"/>
    </w:pPr>
  </w:style>
  <w:style w:type="paragraph" w:styleId="925">
    <w:name w:val="toc 9"/>
    <w:basedOn w:val="928"/>
    <w:next w:val="928"/>
    <w:uiPriority w:val="39"/>
    <w:unhideWhenUsed/>
    <w:pPr>
      <w:ind w:left="2268" w:right="0" w:firstLine="0"/>
      <w:spacing w:after="57"/>
    </w:pPr>
  </w:style>
  <w:style w:type="paragraph" w:styleId="926">
    <w:name w:val="TOC Heading"/>
    <w:uiPriority w:val="39"/>
    <w:unhideWhenUsed/>
  </w:style>
  <w:style w:type="paragraph" w:styleId="927">
    <w:name w:val="table of figures"/>
    <w:basedOn w:val="928"/>
    <w:next w:val="928"/>
    <w:uiPriority w:val="99"/>
    <w:unhideWhenUsed/>
    <w:pPr>
      <w:spacing w:after="0" w:afterAutospacing="0"/>
    </w:pPr>
  </w:style>
  <w:style w:type="paragraph" w:styleId="928" w:default="1">
    <w:name w:val="Normal"/>
    <w:qFormat/>
    <w:pPr>
      <w:widowControl w:val="off"/>
    </w:pPr>
  </w:style>
  <w:style w:type="paragraph" w:styleId="929">
    <w:name w:val="Heading 1"/>
    <w:basedOn w:val="928"/>
    <w:next w:val="928"/>
    <w:link w:val="94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30">
    <w:name w:val="Heading 3"/>
    <w:basedOn w:val="928"/>
    <w:next w:val="928"/>
    <w:link w:val="944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character" w:styleId="931" w:default="1">
    <w:name w:val="Default Paragraph Font"/>
    <w:uiPriority w:val="1"/>
    <w:semiHidden/>
    <w:unhideWhenUsed/>
  </w:style>
  <w:style w:type="table" w:styleId="9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3" w:default="1">
    <w:name w:val="No List"/>
    <w:uiPriority w:val="99"/>
    <w:semiHidden/>
    <w:unhideWhenUsed/>
  </w:style>
  <w:style w:type="paragraph" w:styleId="934">
    <w:name w:val="Balloon Text"/>
    <w:basedOn w:val="928"/>
    <w:semiHidden/>
    <w:rPr>
      <w:rFonts w:ascii="Tahoma" w:hAnsi="Tahoma" w:cs="Tahoma"/>
      <w:sz w:val="16"/>
      <w:szCs w:val="16"/>
    </w:rPr>
  </w:style>
  <w:style w:type="paragraph" w:styleId="935">
    <w:name w:val="Body Text Indent 2"/>
    <w:basedOn w:val="928"/>
    <w:link w:val="936"/>
    <w:unhideWhenUsed/>
    <w:pPr>
      <w:ind w:left="283"/>
      <w:spacing w:after="120" w:line="480" w:lineRule="auto"/>
      <w:widowControl/>
    </w:pPr>
    <w:rPr>
      <w:sz w:val="24"/>
    </w:rPr>
  </w:style>
  <w:style w:type="character" w:styleId="936" w:customStyle="1">
    <w:name w:val="Основной текст с отступом 2 Знак"/>
    <w:link w:val="935"/>
    <w:rPr>
      <w:sz w:val="24"/>
    </w:rPr>
  </w:style>
  <w:style w:type="table" w:styleId="937">
    <w:name w:val="Table Grid"/>
    <w:basedOn w:val="93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8">
    <w:name w:val="List Number"/>
    <w:basedOn w:val="928"/>
    <w:pPr>
      <w:jc w:val="both"/>
      <w:spacing w:before="60" w:line="360" w:lineRule="auto"/>
      <w:widowControl/>
    </w:pPr>
    <w:rPr>
      <w:sz w:val="28"/>
      <w:szCs w:val="24"/>
    </w:rPr>
  </w:style>
  <w:style w:type="character" w:styleId="939" w:customStyle="1">
    <w:name w:val="Абзац списка Знак"/>
    <w:basedOn w:val="931"/>
    <w:link w:val="940"/>
    <w:uiPriority w:val="34"/>
    <w:qFormat/>
    <w:rPr>
      <w:rFonts w:ascii="Arial" w:hAnsi="Arial" w:cs="Arial"/>
    </w:rPr>
  </w:style>
  <w:style w:type="paragraph" w:styleId="940">
    <w:name w:val="List Paragraph"/>
    <w:basedOn w:val="928"/>
    <w:link w:val="939"/>
    <w:uiPriority w:val="34"/>
    <w:qFormat/>
    <w:pPr>
      <w:contextualSpacing/>
      <w:ind w:left="720"/>
    </w:pPr>
    <w:rPr>
      <w:rFonts w:ascii="Arial" w:hAnsi="Arial" w:cs="Arial"/>
    </w:rPr>
  </w:style>
  <w:style w:type="character" w:styleId="941">
    <w:name w:val="Hyperlink"/>
    <w:uiPriority w:val="99"/>
    <w:rPr>
      <w:strike w:val="0"/>
      <w:color w:val="336699"/>
      <w:u w:val="none"/>
    </w:rPr>
  </w:style>
  <w:style w:type="paragraph" w:styleId="942" w:customStyle="1">
    <w:name w:val="Default"/>
    <w:rPr>
      <w:color w:val="000000"/>
      <w:sz w:val="24"/>
      <w:szCs w:val="24"/>
    </w:rPr>
  </w:style>
  <w:style w:type="paragraph" w:styleId="943">
    <w:name w:val="Normal (Web)"/>
    <w:basedOn w:val="928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44" w:customStyle="1">
    <w:name w:val="Заголовок 3 Знак"/>
    <w:basedOn w:val="931"/>
    <w:link w:val="930"/>
    <w:uiPriority w:val="99"/>
    <w:rPr>
      <w:rFonts w:ascii="Arial" w:hAnsi="Arial" w:cs="Arial"/>
      <w:b/>
      <w:bCs/>
      <w:sz w:val="24"/>
      <w:szCs w:val="24"/>
    </w:rPr>
  </w:style>
  <w:style w:type="paragraph" w:styleId="945">
    <w:name w:val="Header"/>
    <w:basedOn w:val="928"/>
    <w:link w:val="946"/>
    <w:unhideWhenUsed/>
    <w:pPr>
      <w:tabs>
        <w:tab w:val="center" w:pos="4677" w:leader="none"/>
        <w:tab w:val="right" w:pos="9355" w:leader="none"/>
      </w:tabs>
    </w:pPr>
  </w:style>
  <w:style w:type="character" w:styleId="946" w:customStyle="1">
    <w:name w:val="Верхний колонтитул Знак"/>
    <w:basedOn w:val="931"/>
    <w:link w:val="945"/>
  </w:style>
  <w:style w:type="paragraph" w:styleId="947">
    <w:name w:val="Footer"/>
    <w:basedOn w:val="928"/>
    <w:link w:val="9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8" w:customStyle="1">
    <w:name w:val="Нижний колонтитул Знак"/>
    <w:basedOn w:val="931"/>
    <w:link w:val="947"/>
    <w:uiPriority w:val="99"/>
  </w:style>
  <w:style w:type="character" w:styleId="949" w:customStyle="1">
    <w:name w:val="Заголовок 1 Знак"/>
    <w:basedOn w:val="931"/>
    <w:link w:val="92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50" w:customStyle="1">
    <w:name w:val="Пункт_5"/>
    <w:uiPriority w:val="99"/>
    <w:pPr>
      <w:numPr>
        <w:ilvl w:val="4"/>
        <w:numId w:val="0"/>
      </w:numPr>
      <w:contextualSpacing w:val="0"/>
      <w:ind w:left="0" w:right="0" w:firstLine="567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tabs>
        <w:tab w:val="num" w:pos="1703" w:leader="none"/>
        <w:tab w:val="num" w:pos="4399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51" w:customStyle="1">
    <w:name w:val="Абзац списка,Нумерованый список,List Paragraph1"/>
    <w:uiPriority w:val="34"/>
    <w:qFormat/>
    <w:pPr>
      <w:contextualSpacing w:val="0"/>
      <w:ind w:left="708" w:right="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52" w:customStyle="1">
    <w:name w:val="Нумерованный список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tender.lot-online.ru/fx/gpms/ru.naumen.gpms.ui.published_jsp?uuid=corebo19718u80000pm0nngtsmcruf0g" TargetMode="External"/><Relationship Id="rId12" Type="http://schemas.openxmlformats.org/officeDocument/2006/relationships/hyperlink" Target="https://tender.lot-online.ru/fx/gpms/ru.naumen.gpms.ui.published_jsp?uuid=corebo19718u80000pm0nngtsmcruf0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16962-5B8E-408D-B8F2-55211FA8D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>ОАО "МРСК Северо-Запада"</Company>
  <DocSecurity>0</DocSecurity>
  <HyperlinksChanged>false</HyperlinksChanged>
  <LinksUpToDate>false</LinksUpToDate>
  <ScaleCrop>false</ScaleCrop>
  <SharedDoc>false</SharedDoc>
  <Template>Шаблон_БЛАНКА_протокола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lastModifiedBy>spb01059</cp:lastModifiedBy>
  <cp:revision>137</cp:revision>
  <dcterms:created xsi:type="dcterms:W3CDTF">2019-04-10T15:12:00Z</dcterms:created>
  <dcterms:modified xsi:type="dcterms:W3CDTF">2025-12-15T13:59:34Z</dcterms:modified>
</cp:coreProperties>
</file>