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numPr>
          <w:ilvl w:val="0"/>
          <w:numId w:val="0"/>
        </w:numPr>
        <w:jc w:val="center"/>
        <w:outlineLvl w:val="0"/>
        <w:rPr>
          <w:b/>
          <w:i/>
          <w:i/>
          <w:kern w:val="2"/>
        </w:rPr>
      </w:pPr>
      <w:r>
        <w:rPr>
          <w:b/>
          <w:i/>
          <w:kern w:val="2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i/>
          <w:i/>
          <w:kern w:val="2"/>
        </w:rPr>
      </w:pPr>
      <w:r>
        <w:rPr>
          <w:b/>
          <w:i/>
          <w:kern w:val="2"/>
        </w:rPr>
        <w:t xml:space="preserve">ПРОТОКОЛ ЗАСЕДАНИЯ 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i/>
          <w:i/>
        </w:rPr>
      </w:pPr>
      <w:r>
        <w:rPr>
          <w:b/>
          <w:i/>
          <w:kern w:val="2"/>
        </w:rPr>
        <w:t xml:space="preserve">ПОСТОЯННО ДЕЙСТВУЮЩЕЙ ЗАКУПОНОЙ КОМИССИИ № </w:t>
      </w:r>
      <w:r>
        <w:rPr>
          <w:b/>
          <w:i/>
        </w:rPr>
        <w:t>32515379724/2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Дата заседания комиссии: 15 декабря 2025 года.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 xml:space="preserve">Дата подписания протокола: 15 декабря 2025 года. </w:t>
      </w:r>
    </w:p>
    <w:p>
      <w:pPr>
        <w:pStyle w:val="Normal"/>
        <w:tabs>
          <w:tab w:val="clear" w:pos="709"/>
          <w:tab w:val="left" w:pos="426" w:leader="none"/>
        </w:tabs>
        <w:rPr/>
      </w:pPr>
      <w:r>
        <w:rPr/>
        <w:t>Форма проведения заседания комиссии: очно-заочная.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Общее число членов постоянно действующей закупочной комиссии филиала ПАО «Россети Юг» - «Кубаньэнерго» составляет - 9.</w:t>
      </w:r>
    </w:p>
    <w:tbl>
      <w:tblPr>
        <w:tblW w:w="102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06"/>
      </w:tblGrid>
      <w:tr>
        <w:trPr>
          <w:trHeight w:val="1048" w:hRule="atLeast"/>
        </w:trPr>
        <w:tc>
          <w:tcPr>
            <w:tcW w:w="10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Голосовали:</w:t>
            </w:r>
          </w:p>
          <w:p>
            <w:pPr>
              <w:pStyle w:val="Normal"/>
              <w:tabs>
                <w:tab w:val="clear" w:pos="709"/>
                <w:tab w:val="left" w:pos="426" w:leader="none"/>
              </w:tabs>
              <w:jc w:val="both"/>
              <w:rPr>
                <w:b/>
                <w:bCs/>
              </w:rPr>
            </w:pPr>
            <w:r>
              <w:rPr>
                <w:b/>
                <w:color w:val="000000"/>
              </w:rPr>
              <w:t>Председатель ПДЗК:</w:t>
            </w:r>
            <w:r>
              <w:rPr>
                <w:color w:val="000000"/>
              </w:rPr>
              <w:t xml:space="preserve"> </w:t>
            </w:r>
            <w:r>
              <w:rPr>
                <w:bCs/>
              </w:rPr>
              <w:t>В.А. Коржаневский,</w:t>
            </w:r>
          </w:p>
          <w:p>
            <w:pPr>
              <w:pStyle w:val="Normal"/>
              <w:tabs>
                <w:tab w:val="clear" w:pos="709"/>
                <w:tab w:val="left" w:pos="426" w:leader="none"/>
              </w:tabs>
              <w:jc w:val="both"/>
              <w:rPr>
                <w:bCs/>
              </w:rPr>
            </w:pPr>
            <w:r>
              <w:rPr>
                <w:b/>
                <w:bCs/>
              </w:rPr>
              <w:t xml:space="preserve">Заместители председателя ПДЗК: </w:t>
            </w:r>
            <w:r>
              <w:rPr>
                <w:bCs/>
              </w:rPr>
              <w:t xml:space="preserve">О.Ф. Нищук, </w:t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/>
                <w:bCs/>
              </w:rPr>
              <w:t xml:space="preserve">Члены ПДЗК: </w:t>
            </w:r>
            <w:r>
              <w:rPr>
                <w:color w:val="000000"/>
              </w:rPr>
              <w:t>Д.А. Коновалов,</w:t>
            </w:r>
            <w:r>
              <w:rPr/>
              <w:t xml:space="preserve"> </w:t>
            </w:r>
            <w:r>
              <w:rPr>
                <w:bCs/>
              </w:rPr>
              <w:t>С.С. Шевченко, А.А. Часов,</w:t>
            </w:r>
            <w:r>
              <w:rPr/>
              <w:t xml:space="preserve"> О.В. Бабак, </w:t>
            </w:r>
          </w:p>
          <w:p>
            <w:pPr>
              <w:pStyle w:val="Normal"/>
              <w:jc w:val="both"/>
              <w:rPr>
                <w:b/>
                <w:color w:val="000000"/>
              </w:rPr>
            </w:pPr>
            <w:r>
              <w:rPr>
                <w:b/>
              </w:rPr>
              <w:t>Не приняли участие в голосовании:</w:t>
            </w:r>
            <w:r>
              <w:rPr>
                <w:bCs/>
              </w:rPr>
              <w:t xml:space="preserve"> </w:t>
            </w:r>
            <w:r>
              <w:rPr/>
              <w:t>В.А. Михайлов,</w:t>
            </w:r>
            <w:r>
              <w:rPr>
                <w:bCs/>
              </w:rPr>
              <w:t xml:space="preserve"> С.С. Заворин, </w:t>
            </w:r>
            <w:r>
              <w:rPr/>
              <w:t>О.В. Крылов.</w:t>
            </w:r>
          </w:p>
        </w:tc>
      </w:tr>
    </w:tbl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Кворум имеется. Комиссия правомочна.</w:t>
      </w:r>
    </w:p>
    <w:p>
      <w:pPr>
        <w:pStyle w:val="Normal"/>
        <w:tabs>
          <w:tab w:val="left" w:pos="709" w:leader="none"/>
        </w:tabs>
        <w:jc w:val="both"/>
        <w:rPr/>
      </w:pPr>
      <w:r>
        <w:rPr/>
      </w:r>
    </w:p>
    <w:p>
      <w:pPr>
        <w:pStyle w:val="Normal"/>
        <w:tabs>
          <w:tab w:val="left" w:pos="709" w:leader="none"/>
        </w:tabs>
        <w:jc w:val="both"/>
        <w:rPr/>
      </w:pPr>
      <w:r>
        <w:rPr/>
        <w:t>Настоящий запрос предложений</w:t>
      </w:r>
      <w:r>
        <w:rPr>
          <w:bCs/>
        </w:rPr>
        <w:t xml:space="preserve"> </w:t>
      </w:r>
      <w:r>
        <w:rPr/>
        <w:t>в электронной форме проводится с использованием функционала Единой электронной торговой площадки «Росэлторг» (далее - ЕЭТП) согласно Правилам работы данной системы.</w:t>
      </w:r>
    </w:p>
    <w:p>
      <w:pPr>
        <w:pStyle w:val="Normal"/>
        <w:tabs>
          <w:tab w:val="left" w:pos="709" w:leader="none"/>
        </w:tabs>
        <w:jc w:val="both"/>
        <w:rPr/>
      </w:pPr>
      <w:r>
        <w:rPr/>
      </w:r>
    </w:p>
    <w:p>
      <w:pPr>
        <w:pStyle w:val="31"/>
        <w:numPr>
          <w:ilvl w:val="0"/>
          <w:numId w:val="2"/>
        </w:numPr>
        <w:tabs>
          <w:tab w:val="clear" w:pos="709"/>
          <w:tab w:val="left" w:pos="426" w:leader="none"/>
        </w:tabs>
        <w:ind w:hanging="0" w:start="0" w:end="0"/>
        <w:rPr>
          <w:b/>
          <w:bCs/>
          <w:caps/>
          <w:sz w:val="24"/>
          <w:szCs w:val="24"/>
          <w:lang w:val="ru-RU"/>
        </w:rPr>
      </w:pPr>
      <w:r>
        <w:rPr>
          <w:b/>
          <w:bCs/>
          <w:caps/>
          <w:sz w:val="24"/>
          <w:szCs w:val="24"/>
          <w:lang w:val="ru-RU"/>
        </w:rPr>
        <w:t>ВОПРОСЫ ЗАСЕДАНИЯ ПОСТОЯННО ДЕЙСТВУЮЩЕЙ ЗАКУПОЧНОЙ КОМИССИИ:</w:t>
      </w:r>
    </w:p>
    <w:p>
      <w:pPr>
        <w:pStyle w:val="31"/>
        <w:numPr>
          <w:ilvl w:val="0"/>
          <w:numId w:val="6"/>
        </w:numPr>
        <w:tabs>
          <w:tab w:val="clear" w:pos="709"/>
          <w:tab w:val="left" w:pos="284" w:leader="none"/>
          <w:tab w:val="left" w:pos="1276" w:leader="none"/>
        </w:tabs>
        <w:ind w:hanging="0" w:start="0" w:end="0"/>
        <w:rPr>
          <w:sz w:val="24"/>
          <w:szCs w:val="24"/>
        </w:rPr>
      </w:pPr>
      <w:r>
        <w:rPr>
          <w:sz w:val="24"/>
          <w:szCs w:val="24"/>
          <w:lang w:val="ru-RU"/>
        </w:rPr>
        <w:t>О переносе срока.</w:t>
      </w:r>
    </w:p>
    <w:p>
      <w:pPr>
        <w:pStyle w:val="31"/>
        <w:numPr>
          <w:ilvl w:val="0"/>
          <w:numId w:val="6"/>
        </w:numPr>
        <w:tabs>
          <w:tab w:val="clear" w:pos="709"/>
          <w:tab w:val="left" w:pos="284" w:leader="none"/>
          <w:tab w:val="left" w:pos="1276" w:leader="none"/>
        </w:tabs>
        <w:ind w:hanging="0" w:start="0" w:end="0"/>
        <w:rPr>
          <w:sz w:val="24"/>
          <w:szCs w:val="24"/>
        </w:rPr>
      </w:pPr>
      <w:r>
        <w:rPr>
          <w:bCs/>
          <w:sz w:val="24"/>
          <w:szCs w:val="24"/>
          <w:lang w:val="ru-RU"/>
        </w:rPr>
        <w:t xml:space="preserve">О признании проведения </w:t>
      </w:r>
      <w:r>
        <w:rPr>
          <w:sz w:val="24"/>
          <w:szCs w:val="24"/>
          <w:lang w:val="ru-RU"/>
        </w:rPr>
        <w:t>процедуры переторжки состоявшейся</w:t>
      </w:r>
      <w:r>
        <w:rPr>
          <w:sz w:val="24"/>
          <w:szCs w:val="24"/>
        </w:rPr>
        <w:t>.</w:t>
      </w:r>
    </w:p>
    <w:p>
      <w:pPr>
        <w:pStyle w:val="31"/>
        <w:numPr>
          <w:ilvl w:val="0"/>
          <w:numId w:val="6"/>
        </w:numPr>
        <w:tabs>
          <w:tab w:val="clear" w:pos="709"/>
          <w:tab w:val="left" w:pos="284" w:leader="none"/>
          <w:tab w:val="left" w:pos="1276" w:leader="none"/>
        </w:tabs>
        <w:ind w:hanging="720" w:start="720" w:end="0"/>
        <w:rPr>
          <w:sz w:val="24"/>
          <w:szCs w:val="24"/>
        </w:rPr>
      </w:pPr>
      <w:r>
        <w:rPr>
          <w:sz w:val="24"/>
          <w:szCs w:val="24"/>
        </w:rPr>
        <w:t>О рассмотрении экспертного заключения и принятии его к сведению.</w:t>
      </w:r>
    </w:p>
    <w:p>
      <w:pPr>
        <w:pStyle w:val="31"/>
        <w:numPr>
          <w:ilvl w:val="0"/>
          <w:numId w:val="6"/>
        </w:numPr>
        <w:tabs>
          <w:tab w:val="clear" w:pos="709"/>
          <w:tab w:val="left" w:pos="284" w:leader="none"/>
          <w:tab w:val="left" w:pos="1276" w:leader="none"/>
        </w:tabs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 xml:space="preserve">О признании заявки участника соответствующей условиям </w:t>
      </w:r>
      <w:r>
        <w:rPr>
          <w:sz w:val="24"/>
          <w:szCs w:val="24"/>
          <w:lang w:val="ru-RU"/>
        </w:rPr>
        <w:t>запроса предложений</w:t>
      </w:r>
      <w:r>
        <w:rPr>
          <w:sz w:val="24"/>
          <w:szCs w:val="24"/>
        </w:rPr>
        <w:t xml:space="preserve"> в электронной форме по результатам рассмотрения ценового предложения заявки.</w:t>
      </w:r>
    </w:p>
    <w:p>
      <w:pPr>
        <w:pStyle w:val="31"/>
        <w:numPr>
          <w:ilvl w:val="0"/>
          <w:numId w:val="6"/>
        </w:numPr>
        <w:tabs>
          <w:tab w:val="clear" w:pos="709"/>
          <w:tab w:val="left" w:pos="284" w:leader="none"/>
          <w:tab w:val="left" w:pos="1276" w:leader="none"/>
        </w:tabs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 xml:space="preserve">О признании </w:t>
      </w:r>
      <w:r>
        <w:rPr>
          <w:sz w:val="24"/>
          <w:szCs w:val="24"/>
          <w:lang w:val="ru-RU"/>
        </w:rPr>
        <w:t xml:space="preserve">запроса предложений </w:t>
      </w:r>
      <w:r>
        <w:rPr>
          <w:sz w:val="24"/>
          <w:szCs w:val="24"/>
        </w:rPr>
        <w:t>в электронной форме несостоявшимся</w:t>
      </w:r>
      <w:r>
        <w:rPr>
          <w:sz w:val="24"/>
          <w:szCs w:val="24"/>
          <w:lang w:val="ru-RU"/>
        </w:rPr>
        <w:t xml:space="preserve"> и</w:t>
      </w:r>
      <w:r>
        <w:rPr>
          <w:sz w:val="24"/>
          <w:szCs w:val="24"/>
        </w:rPr>
        <w:t xml:space="preserve"> согласовании заключения договора.</w:t>
      </w:r>
    </w:p>
    <w:p>
      <w:pPr>
        <w:pStyle w:val="31"/>
        <w:tabs>
          <w:tab w:val="clear" w:pos="709"/>
          <w:tab w:val="left" w:pos="360" w:leader="none"/>
          <w:tab w:val="left" w:pos="1276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31"/>
        <w:numPr>
          <w:ilvl w:val="0"/>
          <w:numId w:val="2"/>
        </w:numPr>
        <w:tabs>
          <w:tab w:val="clear" w:pos="709"/>
          <w:tab w:val="left" w:pos="142" w:leader="none"/>
          <w:tab w:val="left" w:pos="426" w:leader="none"/>
        </w:tabs>
        <w:ind w:hanging="0" w:start="0" w:end="0"/>
        <w:rPr>
          <w:b/>
          <w:bCs/>
          <w:caps/>
          <w:sz w:val="24"/>
          <w:szCs w:val="24"/>
          <w:lang w:val="ru-RU"/>
        </w:rPr>
      </w:pPr>
      <w:r>
        <w:rPr>
          <w:b/>
          <w:bCs/>
          <w:caps/>
          <w:sz w:val="24"/>
          <w:szCs w:val="24"/>
        </w:rPr>
        <w:t>Информация о закупке</w:t>
      </w:r>
      <w:r>
        <w:rPr>
          <w:b/>
          <w:bCs/>
          <w:caps/>
          <w:sz w:val="24"/>
          <w:szCs w:val="24"/>
          <w:lang w:val="ru-RU"/>
        </w:rPr>
        <w:t>.</w:t>
      </w:r>
    </w:p>
    <w:p>
      <w:pPr>
        <w:pStyle w:val="31"/>
        <w:numPr>
          <w:ilvl w:val="0"/>
          <w:numId w:val="3"/>
        </w:numPr>
        <w:tabs>
          <w:tab w:val="clear" w:pos="709"/>
          <w:tab w:val="left" w:pos="142" w:leader="none"/>
          <w:tab w:val="left" w:pos="284" w:leader="none"/>
        </w:tabs>
        <w:ind w:hanging="0" w:start="0" w:end="0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Извещение </w:t>
      </w:r>
      <w:r>
        <w:rPr>
          <w:bCs/>
          <w:iCs/>
          <w:sz w:val="24"/>
          <w:szCs w:val="24"/>
          <w:lang w:val="ru-RU"/>
        </w:rPr>
        <w:t xml:space="preserve">о </w:t>
      </w:r>
      <w:r>
        <w:rPr>
          <w:bCs/>
          <w:iCs/>
          <w:sz w:val="24"/>
          <w:szCs w:val="24"/>
        </w:rPr>
        <w:t xml:space="preserve">проведении </w:t>
      </w:r>
      <w:r>
        <w:rPr>
          <w:bCs/>
          <w:iCs/>
          <w:sz w:val="24"/>
          <w:szCs w:val="24"/>
          <w:lang w:val="ru-RU"/>
        </w:rPr>
        <w:t>запроса предложений</w:t>
      </w:r>
      <w:r>
        <w:rPr>
          <w:bCs/>
          <w:iCs/>
          <w:sz w:val="24"/>
          <w:szCs w:val="24"/>
          <w:lang w:val="ru-RU"/>
        </w:rPr>
        <w:t xml:space="preserve"> </w:t>
      </w:r>
      <w:r>
        <w:rPr>
          <w:bCs/>
          <w:iCs/>
          <w:sz w:val="24"/>
          <w:szCs w:val="24"/>
        </w:rPr>
        <w:t>в электронной форме от</w:t>
      </w:r>
      <w:r>
        <w:rPr>
          <w:bCs/>
          <w:iCs/>
          <w:sz w:val="24"/>
          <w:szCs w:val="24"/>
          <w:lang w:val="ru-RU"/>
        </w:rPr>
        <w:t xml:space="preserve"> 07</w:t>
      </w:r>
      <w:r>
        <w:rPr>
          <w:bCs/>
          <w:iCs/>
          <w:sz w:val="24"/>
          <w:szCs w:val="24"/>
        </w:rPr>
        <w:t>.</w:t>
      </w:r>
      <w:r>
        <w:rPr>
          <w:bCs/>
          <w:iCs/>
          <w:sz w:val="24"/>
          <w:szCs w:val="24"/>
          <w:lang w:val="ru-RU"/>
        </w:rPr>
        <w:t>11</w:t>
      </w:r>
      <w:r>
        <w:rPr>
          <w:bCs/>
          <w:iCs/>
          <w:sz w:val="24"/>
          <w:szCs w:val="24"/>
        </w:rPr>
        <w:t>.202</w:t>
      </w:r>
      <w:r>
        <w:rPr>
          <w:bCs/>
          <w:iCs/>
          <w:sz w:val="24"/>
          <w:szCs w:val="24"/>
          <w:lang w:val="ru-RU"/>
        </w:rPr>
        <w:t xml:space="preserve">5 </w:t>
      </w:r>
      <w:r>
        <w:rPr>
          <w:b/>
          <w:bCs/>
          <w:iCs/>
          <w:sz w:val="24"/>
          <w:szCs w:val="24"/>
          <w:lang w:val="ru-RU"/>
        </w:rPr>
        <w:t>№</w:t>
      </w:r>
      <w:r>
        <w:rPr>
          <w:b/>
          <w:bCs/>
          <w:iCs/>
          <w:sz w:val="24"/>
          <w:szCs w:val="24"/>
        </w:rPr>
        <w:t>32515379724</w:t>
      </w:r>
      <w:r>
        <w:rPr>
          <w:bCs/>
          <w:iCs/>
          <w:sz w:val="24"/>
          <w:szCs w:val="24"/>
        </w:rPr>
        <w:t>, опубликовано на официальном сайте Единой информационной системы в сфере закупок (</w:t>
      </w:r>
      <w:hyperlink r:id="rId2">
        <w:r>
          <w:rPr>
            <w:rStyle w:val="Hyperlink"/>
            <w:bCs/>
            <w:iCs/>
            <w:sz w:val="24"/>
            <w:szCs w:val="24"/>
          </w:rPr>
          <w:t>www.zakupki.gov.ru</w:t>
        </w:r>
      </w:hyperlink>
      <w:r>
        <w:rPr>
          <w:bCs/>
          <w:iCs/>
          <w:sz w:val="24"/>
          <w:szCs w:val="24"/>
        </w:rPr>
        <w:t>), с копией публикации</w:t>
      </w:r>
      <w:r>
        <w:rPr>
          <w:bCs/>
          <w:iCs/>
          <w:sz w:val="24"/>
          <w:szCs w:val="24"/>
          <w:lang w:val="ru-RU"/>
        </w:rPr>
        <w:t xml:space="preserve"> </w:t>
      </w:r>
      <w:r>
        <w:rPr>
          <w:bCs/>
          <w:iCs/>
          <w:sz w:val="24"/>
          <w:szCs w:val="24"/>
        </w:rPr>
        <w:t xml:space="preserve"> на Единой электронной торговой площадке «Росэлторг» </w:t>
      </w:r>
      <w:r>
        <w:rPr>
          <w:bCs/>
          <w:iCs/>
          <w:color w:val="0000FF"/>
          <w:sz w:val="24"/>
          <w:szCs w:val="24"/>
          <w:u w:val="single"/>
        </w:rPr>
        <w:t>(www.roseltorg.ru).</w:t>
      </w:r>
    </w:p>
    <w:tbl>
      <w:tblPr>
        <w:tblW w:w="48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40"/>
        <w:gridCol w:w="2346"/>
        <w:gridCol w:w="3913"/>
      </w:tblGrid>
      <w:tr>
        <w:trPr>
          <w:trHeight w:val="58" w:hRule="atLeast"/>
          <w:cantSplit w:val="true"/>
        </w:trPr>
        <w:tc>
          <w:tcPr>
            <w:tcW w:w="3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Предмет договора</w:t>
            </w:r>
          </w:p>
        </w:tc>
        <w:tc>
          <w:tcPr>
            <w:tcW w:w="2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Цена закупаемых товаров, работ, услуг</w:t>
            </w:r>
          </w:p>
        </w:tc>
        <w:tc>
          <w:tcPr>
            <w:tcW w:w="3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31"/>
              <w:tabs>
                <w:tab w:val="clear" w:pos="709"/>
                <w:tab w:val="left" w:pos="900" w:leader="none"/>
              </w:tabs>
              <w:ind w:hanging="105" w:end="0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Срок поставки/ выполнения работ/ оказания услуг</w:t>
            </w:r>
          </w:p>
        </w:tc>
      </w:tr>
      <w:tr>
        <w:trPr>
          <w:trHeight w:val="461" w:hRule="atLeast"/>
          <w:cantSplit w:val="true"/>
        </w:trPr>
        <w:tc>
          <w:tcPr>
            <w:tcW w:w="3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Право заключения договора на поставку трансформаторов тока</w:t>
            </w:r>
          </w:p>
        </w:tc>
        <w:tc>
          <w:tcPr>
            <w:tcW w:w="2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136" w:end="0"/>
              <w:jc w:val="center"/>
              <w:rPr/>
            </w:pPr>
            <w:r>
              <w:rPr/>
              <w:t>1 074 744, 00</w:t>
            </w:r>
          </w:p>
          <w:p>
            <w:pPr>
              <w:pStyle w:val="Normal"/>
              <w:ind w:start="136" w:end="0"/>
              <w:jc w:val="center"/>
              <w:rPr/>
            </w:pPr>
            <w:r>
              <w:rPr/>
              <w:t>руб. с НДС</w:t>
            </w:r>
          </w:p>
        </w:tc>
        <w:tc>
          <w:tcPr>
            <w:tcW w:w="3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В течение 30 рабочих дней с момента подписания договора</w:t>
            </w:r>
          </w:p>
        </w:tc>
      </w:tr>
    </w:tbl>
    <w:p>
      <w:pPr>
        <w:pStyle w:val="31"/>
        <w:numPr>
          <w:ilvl w:val="0"/>
          <w:numId w:val="3"/>
        </w:numPr>
        <w:tabs>
          <w:tab w:val="clear" w:pos="709"/>
          <w:tab w:val="left" w:pos="426" w:leader="none"/>
        </w:tabs>
        <w:ind w:hanging="0" w:start="0" w:end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На момент окончания срока подачи заявок </w:t>
      </w:r>
      <w:r>
        <w:rPr>
          <w:bCs/>
          <w:sz w:val="24"/>
          <w:szCs w:val="24"/>
          <w:lang w:val="ru-RU"/>
        </w:rPr>
        <w:t xml:space="preserve">19.11.2025 г. 11:00 (время московское) на </w:t>
      </w:r>
      <w:r>
        <w:rPr>
          <w:bCs/>
          <w:sz w:val="24"/>
          <w:szCs w:val="24"/>
        </w:rPr>
        <w:t xml:space="preserve">ЕЭТП </w:t>
      </w:r>
      <w:r>
        <w:rPr>
          <w:bCs/>
          <w:iCs/>
          <w:sz w:val="24"/>
          <w:szCs w:val="24"/>
        </w:rPr>
        <w:t>«Росэлторг»</w:t>
      </w:r>
      <w:r>
        <w:rPr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</w:rPr>
        <w:t>был</w:t>
      </w:r>
      <w:r>
        <w:rPr>
          <w:bCs/>
          <w:sz w:val="24"/>
          <w:szCs w:val="24"/>
          <w:lang w:val="ru-RU"/>
        </w:rPr>
        <w:t>и</w:t>
      </w:r>
      <w:r>
        <w:rPr>
          <w:bCs/>
          <w:sz w:val="24"/>
          <w:szCs w:val="24"/>
        </w:rPr>
        <w:t xml:space="preserve"> подан</w:t>
      </w:r>
      <w:r>
        <w:rPr>
          <w:bCs/>
          <w:sz w:val="24"/>
          <w:szCs w:val="24"/>
          <w:lang w:val="ru-RU"/>
        </w:rPr>
        <w:t>ы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  <w:lang w:val="ru-RU"/>
        </w:rPr>
        <w:t>2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  <w:lang w:val="ru-RU"/>
        </w:rPr>
        <w:t>(две)</w:t>
      </w:r>
      <w:r>
        <w:rPr>
          <w:bCs/>
          <w:sz w:val="24"/>
          <w:szCs w:val="24"/>
        </w:rPr>
        <w:t xml:space="preserve"> заяв</w:t>
      </w:r>
      <w:r>
        <w:rPr>
          <w:bCs/>
          <w:sz w:val="24"/>
          <w:szCs w:val="24"/>
          <w:lang w:val="ru-RU"/>
        </w:rPr>
        <w:t>ки</w:t>
      </w:r>
      <w:r>
        <w:rPr>
          <w:bCs/>
          <w:sz w:val="24"/>
          <w:szCs w:val="24"/>
        </w:rPr>
        <w:t xml:space="preserve"> участник</w:t>
      </w:r>
      <w:r>
        <w:rPr>
          <w:bCs/>
          <w:sz w:val="24"/>
          <w:szCs w:val="24"/>
          <w:lang w:val="ru-RU"/>
        </w:rPr>
        <w:t>ов</w:t>
      </w:r>
      <w:r>
        <w:rPr/>
        <w:t>:</w:t>
      </w:r>
    </w:p>
    <w:tbl>
      <w:tblPr>
        <w:tblW w:w="1016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0"/>
        <w:gridCol w:w="5961"/>
        <w:gridCol w:w="3361"/>
      </w:tblGrid>
      <w:tr>
        <w:trPr>
          <w:trHeight w:val="240" w:hRule="atLeast"/>
        </w:trPr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№ </w:t>
            </w:r>
            <w:r>
              <w:rPr>
                <w:bCs/>
                <w:color w:val="000000"/>
              </w:rPr>
              <w:t>п/п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Наименование участника</w:t>
            </w:r>
          </w:p>
        </w:tc>
        <w:tc>
          <w:tcPr>
            <w:tcW w:w="3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Cs/>
                <w:color w:val="000000"/>
              </w:rPr>
              <w:t>Дата и время подачи заявки</w:t>
            </w:r>
          </w:p>
        </w:tc>
      </w:tr>
      <w:tr>
        <w:trPr>
          <w:trHeight w:val="70" w:hRule="atLeast"/>
        </w:trPr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«ПЕРВАЯ ТОПЛИВНАЯ КОМПАНИЯ»</w:t>
            </w:r>
          </w:p>
        </w:tc>
        <w:tc>
          <w:tcPr>
            <w:tcW w:w="3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17.11.2025 в 16:42 (МСК)</w:t>
            </w:r>
          </w:p>
        </w:tc>
      </w:tr>
      <w:tr>
        <w:trPr>
          <w:trHeight w:val="70" w:hRule="atLeast"/>
        </w:trPr>
        <w:tc>
          <w:tcPr>
            <w:tcW w:w="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5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«РЕГИОНИНЖИНИРИНГ»</w:t>
            </w:r>
          </w:p>
        </w:tc>
        <w:tc>
          <w:tcPr>
            <w:tcW w:w="3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18.11.2025 в 14:06 (МСК)</w:t>
            </w:r>
          </w:p>
        </w:tc>
      </w:tr>
    </w:tbl>
    <w:p>
      <w:pPr>
        <w:pStyle w:val="31"/>
        <w:numPr>
          <w:ilvl w:val="0"/>
          <w:numId w:val="2"/>
        </w:numPr>
        <w:ind w:hanging="0" w:start="0" w:end="0"/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>Результаты рассмотрения заяв</w:t>
      </w:r>
      <w:r>
        <w:rPr>
          <w:b/>
          <w:bCs/>
          <w:caps/>
          <w:sz w:val="24"/>
          <w:szCs w:val="24"/>
          <w:lang w:val="ru-RU"/>
        </w:rPr>
        <w:t>О</w:t>
      </w:r>
      <w:r>
        <w:rPr>
          <w:b/>
          <w:bCs/>
          <w:caps/>
          <w:sz w:val="24"/>
          <w:szCs w:val="24"/>
        </w:rPr>
        <w:t>к Участник</w:t>
      </w:r>
      <w:r>
        <w:rPr>
          <w:b/>
          <w:bCs/>
          <w:caps/>
          <w:sz w:val="24"/>
          <w:szCs w:val="24"/>
          <w:lang w:val="ru-RU"/>
        </w:rPr>
        <w:t>ОВ:</w:t>
      </w:r>
    </w:p>
    <w:p>
      <w:pPr>
        <w:pStyle w:val="P-Style"/>
        <w:numPr>
          <w:ilvl w:val="0"/>
          <w:numId w:val="4"/>
        </w:numPr>
        <w:tabs>
          <w:tab w:val="clear" w:pos="709"/>
          <w:tab w:val="left" w:pos="426" w:leader="none"/>
        </w:tabs>
        <w:spacing w:lineRule="auto" w:line="240" w:before="0" w:after="0"/>
        <w:ind w:hanging="0" w:start="0" w:end="0"/>
        <w:jc w:val="both"/>
        <w:rPr>
          <w:bCs/>
        </w:rPr>
      </w:pPr>
      <w:r>
        <w:rPr>
          <w:bCs/>
        </w:rPr>
        <w:t>Постоянно действующая закупочная комиссия рассмотрела заявки участников закупки на соответствие требованиям, установленным в документации, и приняла решение</w:t>
      </w:r>
      <w:r>
        <w:rPr/>
        <w:t>:</w:t>
      </w:r>
    </w:p>
    <w:tbl>
      <w:tblPr>
        <w:tblW w:w="485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2085"/>
        <w:gridCol w:w="1734"/>
        <w:gridCol w:w="5417"/>
      </w:tblGrid>
      <w:tr>
        <w:trPr>
          <w:tblHeader w:val="true"/>
          <w:trHeight w:val="450" w:hRule="atLeast"/>
          <w:cantSplit w:val="true"/>
        </w:trPr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№ </w:t>
            </w:r>
            <w:r>
              <w:rPr>
                <w:color w:val="000000"/>
              </w:rPr>
              <w:t>п/п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"/>
              <w:rPr>
                <w:b w:val="false"/>
                <w:bCs/>
                <w:sz w:val="24"/>
                <w:szCs w:val="24"/>
              </w:rPr>
            </w:pPr>
            <w:r>
              <w:rPr>
                <w:b w:val="false"/>
                <w:bCs/>
                <w:sz w:val="24"/>
                <w:szCs w:val="24"/>
              </w:rPr>
              <w:t>Наименование участника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"/>
              <w:rPr>
                <w:b w:val="false"/>
                <w:bCs/>
                <w:sz w:val="24"/>
                <w:szCs w:val="24"/>
              </w:rPr>
            </w:pPr>
            <w:r>
              <w:rPr>
                <w:b w:val="false"/>
                <w:bCs/>
                <w:sz w:val="24"/>
                <w:szCs w:val="24"/>
              </w:rPr>
              <w:t>Принятое решение</w:t>
            </w:r>
          </w:p>
        </w:tc>
        <w:tc>
          <w:tcPr>
            <w:tcW w:w="5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"/>
              <w:rPr>
                <w:b w:val="false"/>
                <w:bCs/>
                <w:sz w:val="24"/>
                <w:szCs w:val="24"/>
              </w:rPr>
            </w:pPr>
            <w:r>
              <w:rPr>
                <w:b w:val="false"/>
                <w:bCs/>
                <w:sz w:val="24"/>
                <w:szCs w:val="24"/>
              </w:rPr>
              <w:t>Основание для отклонения заявки</w:t>
            </w:r>
          </w:p>
        </w:tc>
      </w:tr>
      <w:tr>
        <w:trPr>
          <w:trHeight w:val="243" w:hRule="atLeast"/>
          <w:cantSplit w:val="true"/>
        </w:trPr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«ПЕРВАЯ ТОПЛИВНАЯ КОМПАНИЯ»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Не соответствует, отклонить</w:t>
            </w:r>
          </w:p>
        </w:tc>
        <w:tc>
          <w:tcPr>
            <w:tcW w:w="5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</w:rPr>
            </w:pPr>
            <w:r>
              <w:rPr>
                <w:bCs/>
              </w:rPr>
              <w:t>-</w:t>
            </w:r>
            <w:r>
              <w:rPr/>
              <w:t xml:space="preserve"> в</w:t>
            </w:r>
            <w:r>
              <w:rPr>
                <w:bCs/>
              </w:rPr>
              <w:t xml:space="preserve"> техническом предложении Участник не указал период действия договора и согласие с условиями проекта договора, что не соответствует п. 5 инструкции по заполнению формы 3 документации о закупке; - Участником не предоставлено свидетельство-подтверждение производителя (форма 5) на предлагаемые к поставке материалы, что не соответствует п. 8 подпункт 5 Приложения № 2 к части II «Информационная карта закупки» Документации о закупке и п. 6 «Спецификации и требованиям к закупаемой продукции» приложение 1 к Документации о закупке; - не приложены копии договоров и документов (ТН/УПД), подтверждающих исполнение поставок аналогичного товара за последние 3 года, что не соответствует п. 9 «Спецификации и требований к закупаемой продукции» приложение 1 к Документации о закупке</w:t>
            </w:r>
            <w:r>
              <w:rPr/>
              <w:t xml:space="preserve">; </w:t>
            </w:r>
            <w:r>
              <w:rPr>
                <w:bCs/>
              </w:rPr>
              <w:t xml:space="preserve">- не представлена Годовая бухгалтерская отчетность за последний отчетный год с отметкой инспекции ФНС (не соответствует п. 3а приложения 2 к части </w:t>
            </w:r>
            <w:r>
              <w:rPr>
                <w:bCs/>
                <w:lang w:val="en-US"/>
              </w:rPr>
              <w:t>II</w:t>
            </w:r>
            <w:r>
              <w:rPr>
                <w:bCs/>
              </w:rPr>
              <w:t xml:space="preserve"> Информационной карты закупки Документации о закупке; - представленная </w:t>
            </w:r>
            <w:r>
              <w:rPr/>
              <w:t>Справка об исполнении налогоплательщиком обязанности по уплате налогов, сборов, страховых взносов, пеней и налоговых санкций, выданная соответствующими подразделением Федеральной налоговой службы в электронной форме, не подписана квалифицированной электронной подписью в соответствии с требованиями действующего законодательства Российской Федерации (отсутствует файл подписи справки в формате ***.sig, ***sgn или другом формате), что не соответствует требованиям пп. «б» п. 3 приложения № 2 к части II «Информационная карта закупки» Документации о закупке</w:t>
            </w:r>
            <w:r>
              <w:rPr>
                <w:bCs/>
              </w:rPr>
              <w:t>);</w:t>
            </w:r>
          </w:p>
        </w:tc>
      </w:tr>
      <w:tr>
        <w:trPr>
          <w:trHeight w:val="243" w:hRule="atLeast"/>
          <w:cantSplit w:val="true"/>
        </w:trPr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«РЕГИОН</w:t>
            </w:r>
          </w:p>
          <w:p>
            <w:pPr>
              <w:pStyle w:val="Normal"/>
              <w:rPr/>
            </w:pPr>
            <w:r>
              <w:rPr/>
              <w:t>ИНЖИНИРИНГ»</w:t>
            </w:r>
          </w:p>
        </w:tc>
        <w:tc>
          <w:tcPr>
            <w:tcW w:w="1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Соответствует, </w:t>
            </w:r>
          </w:p>
          <w:p>
            <w:pPr>
              <w:pStyle w:val="Normal"/>
              <w:jc w:val="center"/>
              <w:rPr/>
            </w:pPr>
            <w:r>
              <w:rPr/>
              <w:t>допустить</w:t>
            </w:r>
          </w:p>
        </w:tc>
        <w:tc>
          <w:tcPr>
            <w:tcW w:w="5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0"/>
              <w:rPr>
                <w:bCs/>
              </w:rPr>
            </w:pPr>
            <w:r>
              <w:rPr>
                <w:bCs/>
              </w:rPr>
              <w:t>-</w:t>
            </w:r>
          </w:p>
        </w:tc>
      </w:tr>
    </w:tbl>
    <w:p>
      <w:pPr>
        <w:pStyle w:val="31"/>
        <w:tabs>
          <w:tab w:val="left" w:pos="709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31"/>
        <w:numPr>
          <w:ilvl w:val="0"/>
          <w:numId w:val="2"/>
        </w:numPr>
        <w:tabs>
          <w:tab w:val="left" w:pos="567" w:leader="none"/>
          <w:tab w:val="left" w:pos="709" w:leader="none"/>
        </w:tabs>
        <w:ind w:hanging="0" w:start="0" w:end="0"/>
        <w:rPr>
          <w:b/>
          <w:sz w:val="24"/>
          <w:szCs w:val="24"/>
        </w:rPr>
      </w:pPr>
      <w:r>
        <w:rPr>
          <w:b/>
          <w:bCs/>
          <w:caps/>
          <w:sz w:val="24"/>
          <w:szCs w:val="24"/>
        </w:rPr>
        <w:t>РЕШЕНИЕ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lang w:val="ru-RU"/>
        </w:rPr>
        <w:t>ПОСТОЯННО ДЕЙСТВУЮЩЕЙ ЗАКУПОЧНОЙ</w:t>
      </w:r>
      <w:r>
        <w:rPr>
          <w:b/>
          <w:sz w:val="24"/>
          <w:szCs w:val="24"/>
        </w:rPr>
        <w:t xml:space="preserve"> КОМИССИИ:</w:t>
      </w:r>
    </w:p>
    <w:p>
      <w:pPr>
        <w:pStyle w:val="Normal"/>
        <w:tabs>
          <w:tab w:val="clear" w:pos="709"/>
          <w:tab w:val="left" w:pos="426" w:leader="none"/>
          <w:tab w:val="left" w:pos="567" w:leader="none"/>
          <w:tab w:val="left" w:pos="7605" w:leader="none"/>
        </w:tabs>
        <w:jc w:val="both"/>
        <w:rPr/>
      </w:pPr>
      <w:r>
        <w:rPr>
          <w:bCs/>
        </w:rPr>
        <w:t>1. Перенести срок подведения итогов на 15.12.2025 г.</w:t>
        <w:tab/>
      </w:r>
    </w:p>
    <w:p>
      <w:pPr>
        <w:pStyle w:val="Style22"/>
        <w:tabs>
          <w:tab w:val="clear" w:pos="709"/>
          <w:tab w:val="left" w:pos="426" w:leader="none"/>
          <w:tab w:val="left" w:pos="567" w:leader="none"/>
        </w:tabs>
        <w:ind w:start="0" w:end="0"/>
        <w:jc w:val="both"/>
        <w:rPr>
          <w:b/>
          <w:i/>
          <w:i/>
        </w:rPr>
      </w:pPr>
      <w:r>
        <w:rPr>
          <w:b/>
          <w:i/>
        </w:rPr>
        <w:t>Итоги голосования: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 xml:space="preserve">За – </w:t>
      </w:r>
      <w:r>
        <w:rPr>
          <w:lang w:val="en-US"/>
        </w:rPr>
        <w:t>6</w:t>
      </w:r>
      <w:r>
        <w:rPr/>
        <w:t xml:space="preserve"> голоса (-ов) 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Против – 0 голоса (-ов)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/>
        <w:t>Воздержался – 0 голоса (-ов)</w:t>
      </w:r>
      <w:r>
        <w:rPr>
          <w:rFonts w:eastAsia="Calibri"/>
        </w:rPr>
        <w:t>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>
          <w:rFonts w:eastAsia="Calibri"/>
        </w:rPr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284" w:leader="none"/>
          <w:tab w:val="left" w:pos="567" w:leader="none"/>
          <w:tab w:val="left" w:pos="7605" w:leader="none"/>
        </w:tabs>
        <w:ind w:hanging="3763" w:start="3763" w:end="0"/>
        <w:jc w:val="both"/>
        <w:rPr/>
      </w:pPr>
      <w:r>
        <w:rPr>
          <w:bCs/>
        </w:rPr>
        <w:t xml:space="preserve">Признать проведение </w:t>
      </w:r>
      <w:r>
        <w:rPr/>
        <w:t>процедуры переторжки состоявшейся</w:t>
      </w:r>
      <w:r>
        <w:rPr>
          <w:bCs/>
        </w:rPr>
        <w:t>.</w:t>
        <w:tab/>
      </w:r>
    </w:p>
    <w:p>
      <w:pPr>
        <w:pStyle w:val="Style22"/>
        <w:tabs>
          <w:tab w:val="clear" w:pos="709"/>
          <w:tab w:val="left" w:pos="426" w:leader="none"/>
          <w:tab w:val="left" w:pos="567" w:leader="none"/>
        </w:tabs>
        <w:ind w:start="0" w:end="0"/>
        <w:jc w:val="both"/>
        <w:rPr>
          <w:b/>
          <w:i/>
          <w:i/>
        </w:rPr>
      </w:pPr>
      <w:r>
        <w:rPr>
          <w:b/>
          <w:i/>
        </w:rPr>
        <w:t>Итоги голосования: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 xml:space="preserve">За – 6 голоса (-ов) </w:t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Против – 0 голоса (-ов)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/>
        <w:t>Воздержался – 0 голоса (-ов)</w:t>
      </w:r>
      <w:r>
        <w:rPr>
          <w:rFonts w:eastAsia="Calibri"/>
        </w:rPr>
        <w:t>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rFonts w:eastAsia="Calibri"/>
        </w:rPr>
      </w:pPr>
      <w:r>
        <w:rPr>
          <w:rFonts w:eastAsia="Calibri"/>
        </w:rPr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>
          <w:bCs/>
          <w:color w:val="000000"/>
        </w:rPr>
        <w:t>3.</w:t>
      </w:r>
      <w:r>
        <w:rPr>
          <w:bCs/>
          <w:iCs/>
        </w:rPr>
        <w:t xml:space="preserve"> Принять к сведению мнение эксперта.</w:t>
      </w:r>
    </w:p>
    <w:p>
      <w:pPr>
        <w:pStyle w:val="Normal"/>
        <w:tabs>
          <w:tab w:val="clear" w:pos="709"/>
          <w:tab w:val="left" w:pos="142" w:leader="none"/>
          <w:tab w:val="left" w:pos="426" w:leader="none"/>
        </w:tabs>
        <w:jc w:val="both"/>
        <w:rPr>
          <w:b/>
          <w:i/>
          <w:i/>
          <w:color w:val="FF0000"/>
        </w:rPr>
      </w:pPr>
      <w:r>
        <w:rPr>
          <w:b/>
          <w:i/>
          <w:color w:val="000000"/>
        </w:rPr>
        <w:t>Итоги голосования:</w:t>
      </w:r>
    </w:p>
    <w:p>
      <w:pPr>
        <w:pStyle w:val="Normal"/>
        <w:tabs>
          <w:tab w:val="clear" w:pos="709"/>
          <w:tab w:val="left" w:pos="426" w:leader="none"/>
          <w:tab w:val="left" w:pos="7785" w:leader="none"/>
        </w:tabs>
        <w:jc w:val="both"/>
        <w:rPr/>
      </w:pPr>
      <w:r>
        <w:rPr/>
        <w:t>За – 6 голоса (-ов)</w:t>
        <w:tab/>
      </w:r>
    </w:p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  <w:t>Против – 0 голоса (-ов)</w:t>
      </w:r>
    </w:p>
    <w:p>
      <w:pPr>
        <w:pStyle w:val="Normal"/>
        <w:tabs>
          <w:tab w:val="clear" w:pos="709"/>
          <w:tab w:val="left" w:pos="426" w:leader="none"/>
          <w:tab w:val="left" w:pos="7560" w:leader="none"/>
        </w:tabs>
        <w:jc w:val="both"/>
        <w:rPr>
          <w:rFonts w:eastAsia="Calibri"/>
        </w:rPr>
      </w:pPr>
      <w:r>
        <w:rPr/>
        <w:t>Воздержался – 0 голоса (-ов)</w:t>
      </w:r>
      <w:r>
        <w:rPr>
          <w:rFonts w:eastAsia="Calibri"/>
        </w:rPr>
        <w:t>.</w:t>
      </w:r>
    </w:p>
    <w:p>
      <w:pPr>
        <w:pStyle w:val="Normal"/>
        <w:tabs>
          <w:tab w:val="clear" w:pos="709"/>
          <w:tab w:val="left" w:pos="426" w:leader="none"/>
          <w:tab w:val="left" w:pos="7560" w:leader="none"/>
        </w:tabs>
        <w:jc w:val="both"/>
        <w:rPr>
          <w:rFonts w:eastAsia="Calibri"/>
        </w:rPr>
      </w:pPr>
      <w:r>
        <w:rPr>
          <w:rFonts w:eastAsia="Calibri"/>
        </w:rPr>
      </w:r>
    </w:p>
    <w:p>
      <w:pPr>
        <w:pStyle w:val="Normal"/>
        <w:jc w:val="both"/>
        <w:rPr/>
      </w:pPr>
      <w:r>
        <w:rPr>
          <w:rFonts w:eastAsia="Calibri"/>
        </w:rPr>
        <w:t>4.</w:t>
      </w:r>
      <w:r>
        <w:rPr/>
        <w:t xml:space="preserve"> Признать заявку ООО «РЕГИОНИНЖИНИРИНГ» соответствующей условиям запроса предложений в электронной форме по результатам рассмотрения ценового предложения заявки.</w:t>
      </w:r>
    </w:p>
    <w:tbl>
      <w:tblPr>
        <w:tblW w:w="485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62"/>
        <w:gridCol w:w="1790"/>
        <w:gridCol w:w="2336"/>
        <w:gridCol w:w="1913"/>
        <w:gridCol w:w="1798"/>
      </w:tblGrid>
      <w:tr>
        <w:trPr>
          <w:tblHeader w:val="true"/>
          <w:trHeight w:val="501" w:hRule="atLeast"/>
          <w:cantSplit w:val="true"/>
        </w:trPr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rPr>
                <w:b w:val="false"/>
                <w:bCs/>
                <w:sz w:val="24"/>
                <w:szCs w:val="24"/>
              </w:rPr>
            </w:pPr>
            <w:r>
              <w:rPr>
                <w:b w:val="false"/>
                <w:bCs/>
                <w:sz w:val="24"/>
                <w:szCs w:val="24"/>
              </w:rPr>
              <w:t>Наименование участника</w:t>
            </w:r>
          </w:p>
        </w:tc>
        <w:tc>
          <w:tcPr>
            <w:tcW w:w="1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08" w:end="-20"/>
              <w:jc w:val="center"/>
              <w:rPr>
                <w:bCs/>
              </w:rPr>
            </w:pPr>
            <w:r>
              <w:rPr>
                <w:bCs/>
              </w:rPr>
              <w:t>Ценовое предложение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08" w:end="-20"/>
              <w:jc w:val="center"/>
              <w:rPr>
                <w:b/>
                <w:bCs/>
              </w:rPr>
            </w:pPr>
            <w:r>
              <w:rPr>
                <w:bCs/>
              </w:rPr>
              <w:t>Предложение о цене договора, поданное в ходе переторжки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rPr>
                <w:b w:val="false"/>
                <w:bCs/>
                <w:sz w:val="24"/>
                <w:szCs w:val="24"/>
              </w:rPr>
            </w:pPr>
            <w:r>
              <w:rPr>
                <w:b w:val="false"/>
                <w:bCs/>
                <w:sz w:val="24"/>
                <w:szCs w:val="24"/>
              </w:rPr>
              <w:t>Принятое решение</w:t>
            </w:r>
          </w:p>
        </w:tc>
        <w:tc>
          <w:tcPr>
            <w:tcW w:w="1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rPr>
                <w:b w:val="false"/>
                <w:bCs/>
                <w:sz w:val="24"/>
                <w:szCs w:val="24"/>
              </w:rPr>
            </w:pPr>
            <w:r>
              <w:rPr>
                <w:b w:val="false"/>
                <w:bCs/>
                <w:sz w:val="24"/>
                <w:szCs w:val="24"/>
              </w:rPr>
              <w:t>Основание для отклонения заявки</w:t>
            </w:r>
          </w:p>
        </w:tc>
      </w:tr>
      <w:tr>
        <w:trPr>
          <w:trHeight w:val="187" w:hRule="atLeast"/>
          <w:cantSplit w:val="true"/>
        </w:trPr>
        <w:tc>
          <w:tcPr>
            <w:tcW w:w="2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ООО «РЕГИОН</w:t>
            </w:r>
          </w:p>
          <w:p>
            <w:pPr>
              <w:pStyle w:val="Normal"/>
              <w:rPr/>
            </w:pPr>
            <w:r>
              <w:rPr/>
              <w:t>ИНЖИНИРИНГ»</w:t>
            </w:r>
          </w:p>
        </w:tc>
        <w:tc>
          <w:tcPr>
            <w:tcW w:w="1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1 074 744, 00</w:t>
            </w:r>
          </w:p>
          <w:p>
            <w:pPr>
              <w:pStyle w:val="Normal"/>
              <w:jc w:val="center"/>
              <w:rPr/>
            </w:pPr>
            <w:r>
              <w:rPr/>
              <w:t>руб. с НДС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1 031 754, 24 </w:t>
            </w:r>
          </w:p>
          <w:p>
            <w:pPr>
              <w:pStyle w:val="Normal"/>
              <w:jc w:val="center"/>
              <w:rPr/>
            </w:pPr>
            <w:r>
              <w:rPr/>
              <w:t>руб. с НДС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111" w:end="-108"/>
              <w:jc w:val="center"/>
              <w:rPr/>
            </w:pPr>
            <w:r>
              <w:rPr/>
              <w:t>Соответствует, допустить</w:t>
            </w:r>
          </w:p>
        </w:tc>
        <w:tc>
          <w:tcPr>
            <w:tcW w:w="1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0"/>
              <w:rPr>
                <w:bCs/>
              </w:rPr>
            </w:pPr>
            <w:r>
              <w:rPr>
                <w:bCs/>
              </w:rPr>
              <w:t>-</w:t>
            </w:r>
          </w:p>
        </w:tc>
      </w:tr>
    </w:tbl>
    <w:p>
      <w:pPr>
        <w:pStyle w:val="Normal"/>
        <w:keepNext w:val="true"/>
        <w:jc w:val="both"/>
        <w:rPr>
          <w:b/>
          <w:i/>
          <w:i/>
        </w:rPr>
      </w:pPr>
      <w:r>
        <w:rPr>
          <w:b/>
          <w:i/>
        </w:rPr>
        <w:t>Итоги голосования:</w:t>
      </w:r>
    </w:p>
    <w:p>
      <w:pPr>
        <w:pStyle w:val="Normal"/>
        <w:jc w:val="both"/>
        <w:rPr/>
      </w:pPr>
      <w:r>
        <w:rPr/>
        <w:t>За – 6 голоса (-ов)</w:t>
      </w:r>
    </w:p>
    <w:p>
      <w:pPr>
        <w:pStyle w:val="Normal"/>
        <w:jc w:val="both"/>
        <w:rPr/>
      </w:pPr>
      <w:r>
        <w:rPr/>
        <w:t>Против – 0 голоса (-ов)</w:t>
      </w:r>
    </w:p>
    <w:p>
      <w:pPr>
        <w:pStyle w:val="Normal"/>
        <w:jc w:val="both"/>
        <w:rPr>
          <w:rFonts w:eastAsia="Calibri"/>
        </w:rPr>
      </w:pPr>
      <w:r>
        <w:rPr/>
        <w:t>Воздержался – 0 голоса (-ов)</w:t>
      </w:r>
      <w:r>
        <w:rPr>
          <w:rFonts w:eastAsia="Calibri"/>
        </w:rPr>
        <w:t>.</w:t>
      </w:r>
    </w:p>
    <w:p>
      <w:pPr>
        <w:pStyle w:val="Normal"/>
        <w:jc w:val="both"/>
        <w:rPr>
          <w:rFonts w:eastAsia="Calibri"/>
        </w:rPr>
      </w:pPr>
      <w:r>
        <w:rPr>
          <w:rFonts w:eastAsia="Calibri"/>
        </w:rPr>
      </w:r>
    </w:p>
    <w:p>
      <w:pPr>
        <w:pStyle w:val="Normal"/>
        <w:jc w:val="both"/>
        <w:rPr/>
      </w:pPr>
      <w:r>
        <w:rPr/>
        <w:t>5.Руководствуясь п. 7.5.1 «в» Единого стандарта закупок ПАО «Россети», признать запрос предложений</w:t>
      </w:r>
      <w:r>
        <w:rPr>
          <w:bCs/>
        </w:rPr>
        <w:t xml:space="preserve"> в электронной форме несостоявшимся. В соответствии с п.7.5.3 Единого стандарта закупок ПАО «Россети» согласовать </w:t>
      </w:r>
      <w:r>
        <w:rPr/>
        <w:t>заключение договора на поставку трансформаторов тока с ООО «РЕГИОНИНЖИНИРИНГ», как</w:t>
      </w:r>
      <w:r>
        <w:rPr>
          <w:bCs/>
        </w:rPr>
        <w:t xml:space="preserve"> с единственным допущенным участником, на условиях извещения, документации о закупке и заявки</w:t>
      </w:r>
      <w:r>
        <w:rPr/>
        <w:t>.</w:t>
      </w:r>
    </w:p>
    <w:p>
      <w:pPr>
        <w:pStyle w:val="Normal"/>
        <w:keepNext w:val="true"/>
        <w:jc w:val="both"/>
        <w:rPr>
          <w:b/>
          <w:i/>
          <w:i/>
        </w:rPr>
      </w:pPr>
      <w:r>
        <w:rPr>
          <w:b/>
          <w:i/>
        </w:rPr>
        <w:t>Итоги голосования: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bCs/>
        </w:rPr>
      </w:pPr>
      <w:r>
        <w:rPr/>
        <w:t>За – 5 голосов (</w:t>
      </w:r>
      <w:r>
        <w:rPr>
          <w:bCs/>
        </w:rPr>
        <w:t>В.А. Коржаневский, О.Ф. Нищук,</w:t>
      </w:r>
      <w:r>
        <w:rPr>
          <w:color w:val="000000"/>
        </w:rPr>
        <w:t xml:space="preserve"> </w:t>
      </w:r>
      <w:r>
        <w:rPr>
          <w:bCs/>
        </w:rPr>
        <w:t>С.С. Шевченко, А.А. Часов,</w:t>
      </w:r>
      <w:r>
        <w:rPr/>
        <w:t xml:space="preserve"> О.В. Бабак)</w:t>
      </w:r>
    </w:p>
    <w:p>
      <w:pPr>
        <w:pStyle w:val="Normal"/>
        <w:jc w:val="both"/>
        <w:rPr/>
      </w:pPr>
      <w:r>
        <w:rPr/>
        <w:t>Против – 0 голоса (-ов)</w:t>
      </w:r>
    </w:p>
    <w:p>
      <w:pPr>
        <w:pStyle w:val="Normal"/>
        <w:jc w:val="both"/>
        <w:rPr>
          <w:rFonts w:eastAsia="Calibri"/>
        </w:rPr>
      </w:pPr>
      <w:r>
        <w:rPr/>
        <w:t>Воздержался – 1 голос (</w:t>
      </w:r>
      <w:r>
        <w:rPr>
          <w:color w:val="000000"/>
        </w:rPr>
        <w:t>Д.А. Коновалов</w:t>
      </w:r>
      <w:r>
        <w:rPr/>
        <w:t>)</w:t>
      </w:r>
      <w:r>
        <w:rPr>
          <w:rFonts w:eastAsia="Calibri"/>
        </w:rPr>
        <w:t>.</w:t>
      </w:r>
    </w:p>
    <w:p>
      <w:pPr>
        <w:pStyle w:val="Normal"/>
        <w:tabs>
          <w:tab w:val="clear" w:pos="709"/>
          <w:tab w:val="left" w:pos="426" w:leader="none"/>
        </w:tabs>
        <w:jc w:val="both"/>
        <w:rPr>
          <w:b/>
          <w:i/>
          <w:i/>
        </w:rPr>
      </w:pPr>
      <w:r>
        <w:rPr>
          <w:b/>
          <w:i/>
        </w:rPr>
        <w:t>Решение по вопросу принято.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426" w:leader="none"/>
        </w:tabs>
        <w:jc w:val="both"/>
        <w:outlineLvl w:val="1"/>
        <w:rPr/>
      </w:pPr>
      <w:r>
        <w:rPr/>
        <w:tab/>
        <w:t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ПАО «Россети Юг»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постоянно действующей закупочной комиссии, оператора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заключения.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426" w:leader="none"/>
        </w:tabs>
        <w:jc w:val="both"/>
        <w:outlineLvl w:val="1"/>
        <w:rPr/>
      </w:pPr>
      <w:r>
        <w:rPr/>
      </w:r>
    </w:p>
    <w:tbl>
      <w:tblPr>
        <w:tblW w:w="4250" w:type="pct"/>
        <w:jc w:val="start"/>
        <w:tblInd w:w="-30" w:type="dxa"/>
        <w:tblLayout w:type="fixed"/>
        <w:tblCellMar>
          <w:top w:w="30" w:type="dxa"/>
          <w:start w:w="30" w:type="dxa"/>
          <w:bottom w:w="30" w:type="dxa"/>
          <w:end w:w="30" w:type="dxa"/>
        </w:tblCellMar>
      </w:tblPr>
      <w:tblGrid>
        <w:gridCol w:w="5645"/>
        <w:gridCol w:w="3030"/>
      </w:tblGrid>
      <w:tr>
        <w:trPr>
          <w:trHeight w:val="427" w:hRule="atLeast"/>
        </w:trPr>
        <w:tc>
          <w:tcPr>
            <w:tcW w:w="5645" w:type="dxa"/>
            <w:tcBorders/>
            <w:vAlign w:val="center"/>
          </w:tcPr>
          <w:p>
            <w:pPr>
              <w:pStyle w:val="Normal"/>
              <w:jc w:val="both"/>
              <w:rPr/>
            </w:pPr>
            <w:r>
              <w:rPr/>
              <w:t xml:space="preserve">Председатель ПДЗК: </w:t>
            </w:r>
          </w:p>
          <w:p>
            <w:pPr>
              <w:pStyle w:val="Normal"/>
              <w:jc w:val="both"/>
              <w:rPr>
                <w:bCs/>
              </w:rPr>
            </w:pPr>
            <w:r>
              <w:rPr>
                <w:bCs/>
              </w:rPr>
              <w:t>В.А. Коржаневский</w:t>
            </w:r>
          </w:p>
        </w:tc>
        <w:tc>
          <w:tcPr>
            <w:tcW w:w="303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both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224" w:hRule="atLeast"/>
        </w:trPr>
        <w:tc>
          <w:tcPr>
            <w:tcW w:w="5645" w:type="dxa"/>
            <w:tcBorders/>
            <w:vAlign w:val="center"/>
          </w:tcPr>
          <w:p>
            <w:pPr>
              <w:pStyle w:val="Normal"/>
              <w:jc w:val="both"/>
              <w:rPr/>
            </w:pPr>
            <w:r>
              <w:rPr/>
              <w:t xml:space="preserve">Ответственный секретарь ПДЗК (без права голоса): </w:t>
            </w:r>
          </w:p>
          <w:p>
            <w:pPr>
              <w:pStyle w:val="Normal"/>
              <w:jc w:val="both"/>
              <w:rPr/>
            </w:pPr>
            <w:r>
              <w:rPr/>
              <w:t>А.Н. Гостева</w:t>
            </w:r>
          </w:p>
        </w:tc>
        <w:tc>
          <w:tcPr>
            <w:tcW w:w="303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Н.П. Бородинова, (861)212-26-61</w:t>
      </w:r>
    </w:p>
    <w:sectPr>
      <w:footerReference w:type="default" r:id="rId3"/>
      <w:type w:val="nextPage"/>
      <w:pgSz w:w="11906" w:h="16838"/>
      <w:pgMar w:left="993" w:right="707" w:gutter="0" w:header="0" w:top="426" w:footer="397" w:bottom="567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Arial Unicode MS">
    <w:charset w:val="00" w:characterSet="windows-1252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ind w:end="-2"/>
      <w:jc w:val="center"/>
      <w:rPr>
        <w:bCs/>
        <w:i/>
        <w:i/>
        <w:iCs/>
        <w:sz w:val="18"/>
        <w:szCs w:val="18"/>
      </w:rPr>
    </w:pPr>
    <w:r>
      <w:rPr>
        <w:bCs/>
        <w:i/>
        <w:sz w:val="18"/>
        <w:szCs w:val="18"/>
      </w:rPr>
      <w:t xml:space="preserve">ПРОТОКОЛ ЗАСЕДАНИЯ ПОСТОЯННО ДЕЙСТВУЮЩЕЙ ЗАКУПОЧНОЙ КОМИССИИ № </w:t>
    </w:r>
    <w:r>
      <w:rPr>
        <w:i/>
        <w:sz w:val="18"/>
        <w:szCs w:val="18"/>
      </w:rPr>
      <w:t>32515379724/</w:t>
    </w:r>
    <w:r>
      <w:rPr>
        <w:bCs/>
        <w:i/>
        <w:sz w:val="18"/>
        <w:szCs w:val="18"/>
      </w:rPr>
      <w:t>2</w:t>
    </w:r>
  </w:p>
  <w:p>
    <w:pPr>
      <w:pStyle w:val="Normal"/>
      <w:jc w:val="end"/>
      <w:rPr/>
    </w:pPr>
    <w:r>
      <w:rPr>
        <w:i/>
        <w:sz w:val="18"/>
        <w:szCs w:val="18"/>
      </w:rPr>
      <w:t xml:space="preserve">Страница </w:t>
    </w:r>
    <w:r>
      <w:rPr>
        <w:i/>
        <w:sz w:val="18"/>
        <w:szCs w:val="18"/>
      </w:rPr>
      <w:fldChar w:fldCharType="begin"/>
    </w:r>
    <w:r>
      <w:rPr>
        <w:sz w:val="18"/>
        <w:i/>
        <w:szCs w:val="18"/>
      </w:rPr>
      <w:instrText xml:space="preserve"> PAGE </w:instrText>
    </w:r>
    <w:r>
      <w:rPr>
        <w:sz w:val="18"/>
        <w:i/>
        <w:szCs w:val="18"/>
      </w:rPr>
      <w:fldChar w:fldCharType="separate"/>
    </w:r>
    <w:r>
      <w:rPr>
        <w:sz w:val="18"/>
        <w:i/>
        <w:szCs w:val="18"/>
      </w:rPr>
      <w:t>3</w:t>
    </w:r>
    <w:r>
      <w:rPr>
        <w:sz w:val="18"/>
        <w:i/>
        <w:szCs w:val="18"/>
      </w:rPr>
      <w:fldChar w:fldCharType="end"/>
    </w:r>
    <w:r>
      <w:rPr>
        <w:i/>
        <w:sz w:val="18"/>
        <w:szCs w:val="18"/>
      </w:rPr>
      <w:t xml:space="preserve"> из 3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  <w:b w:val="fals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3763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verflowPunct w:val="false"/>
      <w:autoSpaceDE w:val="false"/>
      <w:jc w:val="center"/>
      <w:textAlignment w:val="baseline"/>
      <w:outlineLvl w:val="0"/>
    </w:pPr>
    <w:rPr>
      <w:rFonts w:ascii="Times New Roman" w:hAnsi="Times New Roman" w:cs="Times New Roman"/>
      <w:szCs w:val="1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verflowPunct w:val="false"/>
      <w:autoSpaceDE w:val="false"/>
      <w:jc w:val="center"/>
      <w:textAlignment w:val="baseline"/>
      <w:outlineLvl w:val="1"/>
    </w:pPr>
    <w:rPr>
      <w:rFonts w:ascii="Times New Roman" w:hAnsi="Times New Roman" w:cs="Times New Roman"/>
      <w:b/>
      <w:bCs/>
      <w:sz w:val="28"/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verflowPunct w:val="false"/>
      <w:autoSpaceDE w:val="false"/>
      <w:ind w:hanging="0" w:start="-136" w:end="-52"/>
      <w:jc w:val="center"/>
      <w:textAlignment w:val="baseline"/>
      <w:outlineLvl w:val="2"/>
    </w:pPr>
    <w:rPr>
      <w:rFonts w:ascii="Times New Roman" w:hAnsi="Times New Roman" w:cs="Times New Roman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08" w:start="352" w:end="0"/>
      <w:jc w:val="both"/>
      <w:outlineLvl w:val="3"/>
    </w:pPr>
    <w:rPr>
      <w:b/>
      <w:bCs/>
      <w:sz w:val="3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bCs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360"/>
      <w:outlineLvl w:val="5"/>
    </w:pPr>
    <w:rPr>
      <w:szCs w:val="20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firstLine="4914" w:start="0" w:end="0"/>
      <w:outlineLvl w:val="7"/>
    </w:pPr>
    <w:rPr>
      <w:b/>
      <w:bCs/>
      <w:sz w:val="28"/>
      <w:szCs w:val="20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b w:val="false"/>
      <w:u w:val="none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Times New Roman" w:hAnsi="Times New Roman" w:eastAsia="Times New Roman" w:cs="Times New Roman"/>
    </w:rPr>
  </w:style>
  <w:style w:type="character" w:styleId="WW8Num10z0">
    <w:name w:val="WW8Num10z0"/>
    <w:qFormat/>
    <w:rPr>
      <w:rFonts w:ascii="Symbol" w:hAnsi="Symbol" w:cs="Symbol"/>
      <w:color w:val="000000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Style5"/>
    <w:rPr/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Верхний колонтитул Знак"/>
    <w:qFormat/>
    <w:rPr>
      <w:lang w:val="ru-RU" w:bidi="ar-SA"/>
    </w:rPr>
  </w:style>
  <w:style w:type="character" w:styleId="2">
    <w:name w:val=" Знак Знак2"/>
    <w:qFormat/>
    <w:rPr>
      <w:lang w:val="ru-RU" w:bidi="ar-SA"/>
    </w:rPr>
  </w:style>
  <w:style w:type="character" w:styleId="Style7">
    <w:name w:val="Основной текст с отступом Знак"/>
    <w:qFormat/>
    <w:rPr>
      <w:sz w:val="24"/>
    </w:rPr>
  </w:style>
  <w:style w:type="character" w:styleId="3">
    <w:name w:val="Основной текст 3 Знак"/>
    <w:qFormat/>
    <w:rPr>
      <w:sz w:val="26"/>
    </w:rPr>
  </w:style>
  <w:style w:type="character" w:styleId="21">
    <w:name w:val="Основной текст с отступом 2 Знак"/>
    <w:qFormat/>
    <w:rPr>
      <w:sz w:val="24"/>
      <w:szCs w:val="24"/>
    </w:rPr>
  </w:style>
  <w:style w:type="character" w:styleId="Style8">
    <w:name w:val="Текст Знак"/>
    <w:qFormat/>
    <w:rPr>
      <w:rFonts w:ascii="Calibri" w:hAnsi="Calibri" w:eastAsia="Calibri" w:cs="Calibri"/>
      <w:sz w:val="22"/>
      <w:szCs w:val="21"/>
      <w:lang w:val="en-US"/>
    </w:rPr>
  </w:style>
  <w:style w:type="character" w:styleId="notice-number3">
    <w:name w:val="notice-number3"/>
    <w:qFormat/>
    <w:rPr/>
  </w:style>
  <w:style w:type="character" w:styleId="Style9">
    <w:name w:val="Абзац списка Знак"/>
    <w:qFormat/>
    <w:rPr>
      <w:sz w:val="24"/>
      <w:szCs w:val="24"/>
    </w:rPr>
  </w:style>
  <w:style w:type="character" w:styleId="defaultlabelstyle3">
    <w:name w:val="defaultlabelstyle3"/>
    <w:qFormat/>
    <w:rPr>
      <w:rFonts w:ascii="Verdana" w:hAnsi="Verdana" w:cs="Verdana"/>
      <w:b w:val="false"/>
      <w:bCs w:val="false"/>
      <w:color w:val="333333"/>
    </w:rPr>
  </w:style>
  <w:style w:type="character" w:styleId="1">
    <w:name w:val="Основной текст Знак1"/>
    <w:qFormat/>
    <w:rPr>
      <w:rFonts w:ascii="Times New Roman" w:hAnsi="Times New Roman" w:cs="Times New Roman"/>
      <w:sz w:val="23"/>
      <w:szCs w:val="23"/>
      <w:shd w:fill="FFFFFF" w:val="clear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2"/>
      <w:szCs w:val="20"/>
    </w:rPr>
  </w:style>
  <w:style w:type="paragraph" w:styleId="BodyText">
    <w:name w:val="Body Text"/>
    <w:basedOn w:val="Normal"/>
    <w:pPr/>
    <w:rPr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1">
    <w:name w:val=" Знак Знак Знак1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xl34">
    <w:name w:val="xl34"/>
    <w:basedOn w:val="Normal"/>
    <w:qFormat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ascii="Arial Unicode MS" w:hAnsi="Arial Unicode MS" w:eastAsia="Arial Unicode MS" w:cs="Arial Unicode MS"/>
    </w:rPr>
  </w:style>
  <w:style w:type="paragraph" w:styleId="31">
    <w:name w:val="Основной текст 3"/>
    <w:basedOn w:val="Normal"/>
    <w:qFormat/>
    <w:pPr>
      <w:jc w:val="both"/>
    </w:pPr>
    <w:rPr>
      <w:sz w:val="26"/>
      <w:szCs w:val="20"/>
      <w:lang w:val="en-US"/>
    </w:rPr>
  </w:style>
  <w:style w:type="paragraph" w:styleId="BodyTextIndent">
    <w:name w:val="Body Text Indent"/>
    <w:basedOn w:val="Normal"/>
    <w:pPr>
      <w:ind w:hanging="0" w:start="567" w:end="0"/>
      <w:jc w:val="both"/>
    </w:pPr>
    <w:rPr>
      <w:szCs w:val="20"/>
      <w:lang w:val="en-US"/>
    </w:rPr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eastAsia="Arial Unicode MS"/>
      <w:b/>
      <w:bCs/>
    </w:rPr>
  </w:style>
  <w:style w:type="paragraph" w:styleId="Normal1">
    <w:name w:val="Normal1"/>
    <w:qFormat/>
    <w:pPr>
      <w:widowControl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  <w:overflowPunct w:val="false"/>
      <w:autoSpaceDE w:val="false"/>
      <w:textAlignment w:val="baselin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22">
    <w:name w:val="Основной текст 2"/>
    <w:basedOn w:val="Normal"/>
    <w:qFormat/>
    <w:pPr>
      <w:jc w:val="center"/>
    </w:pPr>
    <w:rPr/>
  </w:style>
  <w:style w:type="paragraph" w:styleId="Style10">
    <w:name w:val="Цитата"/>
    <w:basedOn w:val="Normal"/>
    <w:qFormat/>
    <w:pPr>
      <w:ind w:hanging="0" w:start="360" w:end="141"/>
    </w:pPr>
    <w:rPr/>
  </w:style>
  <w:style w:type="paragraph" w:styleId="23">
    <w:name w:val="Основной текст с отступом 2"/>
    <w:basedOn w:val="Normal"/>
    <w:qFormat/>
    <w:pPr>
      <w:ind w:hanging="0" w:start="912" w:end="0"/>
      <w:jc w:val="both"/>
    </w:pPr>
    <w:rPr>
      <w:lang w:val="en-US"/>
    </w:rPr>
  </w:style>
  <w:style w:type="paragraph" w:styleId="Style11">
    <w:name w:val="Нумерованный список"/>
    <w:basedOn w:val="Normal"/>
    <w:qFormat/>
    <w:pPr>
      <w:autoSpaceDE w:val="false"/>
      <w:spacing w:lineRule="auto" w:line="360" w:before="60" w:after="0"/>
      <w:jc w:val="both"/>
    </w:pPr>
    <w:rPr>
      <w:sz w:val="28"/>
      <w:szCs w:val="28"/>
    </w:rPr>
  </w:style>
  <w:style w:type="paragraph" w:styleId="Style12">
    <w:name w:val="Текст выноски"/>
    <w:basedOn w:val="Normal"/>
    <w:qFormat/>
    <w:pPr>
      <w:overflowPunct w:val="false"/>
      <w:autoSpaceDE w:val="false"/>
      <w:textAlignment w:val="baseline"/>
    </w:pPr>
    <w:rPr>
      <w:rFonts w:ascii="Tahoma" w:hAnsi="Tahoma" w:cs="Tahoma"/>
      <w:sz w:val="16"/>
      <w:szCs w:val="16"/>
    </w:rPr>
  </w:style>
  <w:style w:type="paragraph" w:styleId="32">
    <w:name w:val="Основной текст с отступом 3"/>
    <w:basedOn w:val="Normal"/>
    <w:qFormat/>
    <w:pPr>
      <w:overflowPunct w:val="false"/>
      <w:autoSpaceDE w:val="false"/>
      <w:ind w:firstLine="426" w:start="0" w:end="-1"/>
      <w:jc w:val="both"/>
    </w:pPr>
    <w:rPr>
      <w:szCs w:val="20"/>
    </w:rPr>
  </w:style>
  <w:style w:type="paragraph" w:styleId="Style13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DefaultParagraphFontParaCharChar">
    <w:name w:val="Default Paragraph Font Para Char Char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14">
    <w:name w:val="Текст примечания"/>
    <w:basedOn w:val="Normal"/>
    <w:qFormat/>
    <w:pPr/>
    <w:rPr>
      <w:sz w:val="20"/>
      <w:szCs w:val="20"/>
    </w:rPr>
  </w:style>
  <w:style w:type="paragraph" w:styleId="normal2">
    <w:name w:val="normal2"/>
    <w:basedOn w:val="Normal"/>
    <w:qFormat/>
    <w:pPr>
      <w:snapToGrid w:val="false"/>
      <w:spacing w:before="100" w:after="100"/>
    </w:pPr>
    <w:rPr/>
  </w:style>
  <w:style w:type="paragraph" w:styleId="a">
    <w:name w:val="a"/>
    <w:basedOn w:val="Normal"/>
    <w:qFormat/>
    <w:pPr>
      <w:ind w:firstLine="720" w:start="0" w:end="0"/>
      <w:jc w:val="both"/>
    </w:pPr>
    <w:rPr/>
  </w:style>
  <w:style w:type="paragraph" w:styleId="Style15">
    <w:name w:val="Пункт"/>
    <w:basedOn w:val="Normal"/>
    <w:qFormat/>
    <w:pPr>
      <w:spacing w:lineRule="auto" w:line="360"/>
      <w:jc w:val="both"/>
    </w:pPr>
    <w:rPr>
      <w:sz w:val="28"/>
      <w:szCs w:val="20"/>
    </w:rPr>
  </w:style>
  <w:style w:type="paragraph" w:styleId="Style16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TOC5">
    <w:name w:val="toc 5"/>
    <w:basedOn w:val="Normal"/>
    <w:next w:val="Normal"/>
    <w:pPr>
      <w:widowControl w:val="false"/>
      <w:autoSpaceDE w:val="false"/>
      <w:ind w:hanging="0" w:start="800" w:end="0"/>
    </w:pPr>
    <w:rPr>
      <w:rFonts w:ascii="Arial" w:hAnsi="Arial" w:cs="Arial"/>
      <w:sz w:val="20"/>
      <w:szCs w:val="20"/>
    </w:rPr>
  </w:style>
  <w:style w:type="paragraph" w:styleId="12">
    <w:name w:val="1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FR1">
    <w:name w:val="FR1"/>
    <w:qFormat/>
    <w:pPr>
      <w:widowControl w:val="false"/>
      <w:bidi w:val="0"/>
      <w:spacing w:lineRule="auto" w:line="300" w:before="160" w:after="0"/>
      <w:jc w:val="center"/>
    </w:pPr>
    <w:rPr>
      <w:rFonts w:ascii="Arial" w:hAnsi="Arial" w:eastAsia="Times New Roman" w:cs="Arial"/>
      <w:color w:val="auto"/>
      <w:sz w:val="16"/>
      <w:szCs w:val="20"/>
      <w:lang w:val="ru-RU" w:bidi="ar-SA" w:eastAsia="zh-CN"/>
    </w:rPr>
  </w:style>
  <w:style w:type="paragraph" w:styleId="13">
    <w:name w:val="Знак Знак Знак1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ubtitle">
    <w:name w:val="Subtitle"/>
    <w:basedOn w:val="Normal"/>
    <w:next w:val="BodyText"/>
    <w:qFormat/>
    <w:pPr/>
    <w:rPr>
      <w:sz w:val="36"/>
    </w:rPr>
  </w:style>
  <w:style w:type="paragraph" w:styleId="Style17">
    <w:name w:val="Маркированный список"/>
    <w:basedOn w:val="Normal"/>
    <w:qFormat/>
    <w:pPr>
      <w:numPr>
        <w:ilvl w:val="0"/>
        <w:numId w:val="5"/>
      </w:numPr>
      <w:tabs>
        <w:tab w:val="clear" w:pos="709"/>
        <w:tab w:val="left" w:pos="1069" w:leader="none"/>
      </w:tabs>
      <w:spacing w:lineRule="auto" w:line="360"/>
      <w:ind w:hanging="0" w:start="1069" w:end="567"/>
    </w:pPr>
    <w:rPr>
      <w:szCs w:val="20"/>
    </w:rPr>
  </w:style>
  <w:style w:type="paragraph" w:styleId="xl83">
    <w:name w:val="xl83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eastAsia="Arial Unicode MS"/>
      <w:b/>
      <w:bCs/>
      <w:lang w:val="en-US"/>
    </w:rPr>
  </w:style>
  <w:style w:type="paragraph" w:styleId="Style18">
    <w:name w:val="Подпункт"/>
    <w:basedOn w:val="Style15"/>
    <w:qFormat/>
    <w:pPr>
      <w:numPr>
        <w:ilvl w:val="0"/>
        <w:numId w:val="0"/>
      </w:numPr>
      <w:tabs>
        <w:tab w:val="clear" w:pos="709"/>
        <w:tab w:val="left" w:pos="1276" w:leader="none"/>
      </w:tabs>
      <w:ind w:hanging="1134" w:start="1276" w:end="0"/>
    </w:pPr>
    <w:rPr>
      <w:szCs w:val="28"/>
    </w:rPr>
  </w:style>
  <w:style w:type="paragraph" w:styleId="Style19">
    <w:name w:val="Подподпункт"/>
    <w:basedOn w:val="Style18"/>
    <w:qFormat/>
    <w:pPr>
      <w:tabs>
        <w:tab w:val="clear" w:pos="1276"/>
        <w:tab w:val="left" w:pos="1843" w:leader="none"/>
      </w:tabs>
      <w:ind w:hanging="567" w:start="1843" w:end="0"/>
    </w:pPr>
    <w:rPr/>
  </w:style>
  <w:style w:type="paragraph" w:styleId="Style20">
    <w:name w:val="Название объекта"/>
    <w:basedOn w:val="Normal"/>
    <w:next w:val="Normal"/>
    <w:qFormat/>
    <w:pPr/>
    <w:rPr>
      <w:b/>
      <w:bCs/>
      <w:sz w:val="20"/>
      <w:szCs w:val="20"/>
    </w:rPr>
  </w:style>
  <w:style w:type="paragraph" w:styleId="14">
    <w:name w:val=" Знак1 Знак Знак Знак Знак Знак Знак"/>
    <w:basedOn w:val="Normal"/>
    <w:qFormat/>
    <w:pPr>
      <w:tabs>
        <w:tab w:val="clear" w:pos="709"/>
        <w:tab w:val="left" w:pos="1069" w:leader="none"/>
      </w:tabs>
      <w:spacing w:lineRule="exact" w:line="240" w:before="0" w:after="160"/>
      <w:ind w:hanging="360" w:start="1069" w:end="0"/>
      <w:jc w:val="both"/>
    </w:pPr>
    <w:rPr>
      <w:rFonts w:ascii="Verdana" w:hAnsi="Verdana" w:cs="Arial"/>
      <w:sz w:val="20"/>
      <w:szCs w:val="20"/>
      <w:lang w:val="en-US"/>
    </w:rPr>
  </w:style>
  <w:style w:type="paragraph" w:styleId="24">
    <w:name w:val=" Знак2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Times12">
    <w:name w:val="Times 12"/>
    <w:basedOn w:val="Normal"/>
    <w:qFormat/>
    <w:pPr>
      <w:overflowPunct w:val="false"/>
      <w:autoSpaceDE w:val="false"/>
      <w:ind w:firstLine="567" w:start="0" w:end="0"/>
      <w:jc w:val="both"/>
    </w:pPr>
    <w:rPr>
      <w:szCs w:val="20"/>
    </w:rPr>
  </w:style>
  <w:style w:type="paragraph" w:styleId="Style21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25">
    <w:name w:val="Обычный2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2">
    <w:name w:val="Абзац списка"/>
    <w:basedOn w:val="Normal"/>
    <w:qFormat/>
    <w:pPr>
      <w:ind w:hanging="0" w:start="708" w:end="0"/>
    </w:pPr>
    <w:rPr>
      <w:lang w:val="en-US"/>
    </w:rPr>
  </w:style>
  <w:style w:type="paragraph" w:styleId="Style23">
    <w:name w:val="Таблица шапка"/>
    <w:basedOn w:val="Normal"/>
    <w:qFormat/>
    <w:pPr>
      <w:keepNext w:val="true"/>
      <w:snapToGrid w:val="false"/>
      <w:spacing w:before="40" w:after="40"/>
      <w:ind w:hanging="0" w:start="57" w:end="57"/>
    </w:pPr>
    <w:rPr>
      <w:sz w:val="22"/>
      <w:szCs w:val="20"/>
    </w:rPr>
  </w:style>
  <w:style w:type="paragraph" w:styleId="Style24">
    <w:name w:val="Текст"/>
    <w:basedOn w:val="Normal"/>
    <w:qFormat/>
    <w:pPr/>
    <w:rPr>
      <w:rFonts w:ascii="Calibri" w:hAnsi="Calibri" w:eastAsia="Calibri" w:cs="Calibri"/>
      <w:sz w:val="22"/>
      <w:szCs w:val="21"/>
      <w:lang w:val="en-US"/>
    </w:rPr>
  </w:style>
  <w:style w:type="paragraph" w:styleId="P-Style">
    <w:name w:val="P-Style"/>
    <w:basedOn w:val="Normal"/>
    <w:qFormat/>
    <w:pPr>
      <w:spacing w:lineRule="auto" w:line="276" w:before="0" w:after="95"/>
    </w:pPr>
    <w:rPr/>
  </w:style>
  <w:style w:type="paragraph" w:styleId="noprint">
    <w:name w:val="noprint"/>
    <w:basedOn w:val="Normal"/>
    <w:qFormat/>
    <w:pPr>
      <w:spacing w:before="280" w:after="280"/>
    </w:pPr>
    <w:rPr/>
  </w:style>
  <w:style w:type="paragraph" w:styleId="Style25">
    <w:name w:val="Обычный (веб)"/>
    <w:basedOn w:val="Normal"/>
    <w:qFormat/>
    <w:pPr>
      <w:spacing w:before="280" w:after="2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2023-05-16T05:30:00Z</dcterms:created>
  <dc:creator>SvetlanaP</dc:creator>
  <dc:description/>
  <cp:keywords/>
  <dc:language>en-US</dc:language>
  <cp:lastModifiedBy>Бородинова Наталья Петровна</cp:lastModifiedBy>
  <cp:lastPrinted>2025-03-27T13:06:00Z</cp:lastPrinted>
  <dcterms:modified xsi:type="dcterms:W3CDTF">2025-12-15T08:10:00Z</dcterms:modified>
  <cp:revision>1108</cp:revision>
  <dc:subject/>
  <dc:title>Российское акционерное общество</dc:title>
</cp:coreProperties>
</file>