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60" w:after="0"/>
        <w:jc w:val="center"/>
        <w:rPr>
          <w:b/>
        </w:rPr>
      </w:pPr>
      <w:r>
        <w:rPr>
          <w:b/>
        </w:rPr>
        <w:t>ПРОТОКОЛ</w:t>
      </w:r>
    </w:p>
    <w:p>
      <w:pPr>
        <w:pStyle w:val="Normal"/>
        <w:jc w:val="center"/>
        <w:rPr/>
      </w:pPr>
      <w:r>
        <w:rPr/>
        <w:t xml:space="preserve">заседания Закупочной комиссии </w:t>
      </w:r>
      <w:bookmarkStart w:id="0" w:name="OLE_LINK6"/>
      <w:bookmarkStart w:id="1" w:name="OLE_LINK5"/>
      <w:r>
        <w:rPr/>
        <w:t>по вскрытию конвертов</w:t>
      </w:r>
    </w:p>
    <w:p>
      <w:pPr>
        <w:pStyle w:val="Normal"/>
        <w:jc w:val="center"/>
        <w:rPr/>
      </w:pPr>
      <w:r>
        <w:rPr/>
        <w:t xml:space="preserve">с </w:t>
      </w:r>
      <w:bookmarkEnd w:id="0"/>
      <w:bookmarkEnd w:id="1"/>
      <w:r>
        <w:rPr/>
        <w:t>заявками на участие в закупке</w:t>
      </w:r>
    </w:p>
    <w:p>
      <w:pPr>
        <w:pStyle w:val="Normal"/>
        <w:spacing w:before="120" w:after="240"/>
        <w:jc w:val="center"/>
        <w:rPr/>
      </w:pPr>
      <w:r>
        <w:rPr>
          <w:b/>
        </w:rPr>
        <w:t>г. </w:t>
      </w:r>
      <w:r>
        <w:rPr/>
        <w:t>Москва</w:t>
      </w:r>
    </w:p>
    <w:tbl>
      <w:tblPr>
        <w:tblW w:w="1017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61"/>
        <w:gridCol w:w="5812"/>
      </w:tblGrid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Номер Протокола: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 xml:space="preserve">№ </w:t>
            </w:r>
            <w:r>
              <w:rPr/>
              <w:t>220291/ОЗП-ПВК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Способ закупки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Открытый запрос предложений (ЭТП)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Предмет закупки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Выполнение инспекции уровня «L2» генератора ГТУ-1 типа AMS 1250A LF Уфимской ТЭЦ-2 ООО «БГК»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Дата/время проведения заседания: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«15» декабря 2025г. 12:00 (</w:t>
            </w:r>
            <w:r>
              <w:rPr>
                <w:i/>
                <w:sz w:val="22"/>
                <w:szCs w:val="22"/>
              </w:rPr>
              <w:t>по московскому времени)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Дата подписания протокола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«15» декабря 2025г.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Начальная (максимальная) цена: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color w:val="548DD4"/>
              </w:rPr>
            </w:pPr>
            <w:r>
              <w:rPr/>
              <w:t>8 660 333,33 руб. без НДС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Участниками могут быть только субъекты МСП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нет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Объем, цена закупаемых товаров, работ, услуг, срок исполнения договора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в соответствии с Закупочной документацией</w:t>
            </w:r>
          </w:p>
        </w:tc>
      </w:tr>
    </w:tbl>
    <w:p>
      <w:pPr>
        <w:pStyle w:val="Normal"/>
        <w:spacing w:before="120" w:after="120"/>
        <w:ind w:firstLine="709" w:end="0"/>
        <w:rPr>
          <w:b/>
        </w:rPr>
      </w:pPr>
      <w:r>
        <w:rPr>
          <w:b/>
        </w:rPr>
        <w:t xml:space="preserve">ВОПРОСЫ ЗАСЕДАНИЯ ЗАКУПОЧНОЙ КОМИССИИ: </w:t>
      </w:r>
    </w:p>
    <w:p>
      <w:pPr>
        <w:pStyle w:val="Normal"/>
        <w:spacing w:before="120" w:after="120"/>
        <w:ind w:firstLine="709" w:end="0"/>
        <w:rPr>
          <w:i/>
          <w:i/>
          <w:color w:val="548DD4"/>
        </w:rPr>
      </w:pPr>
      <w:r>
        <w:rPr>
          <w:i/>
          <w:color w:val="548DD4"/>
        </w:rPr>
        <w:t xml:space="preserve">На участие в закупке было подано: 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4"/>
        <w:gridCol w:w="4114"/>
        <w:gridCol w:w="5245"/>
      </w:tblGrid>
      <w:tr>
        <w:trPr>
          <w:tblHeader w:val="true"/>
          <w:trHeight w:val="473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п/п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Порядковый номер Участника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Дата и время регистрации заявки, Общая цена заявки на участие в закупке</w:t>
            </w:r>
          </w:p>
        </w:tc>
      </w:tr>
      <w:tr>
        <w:trPr>
          <w:tblHeader w:val="true"/>
          <w:trHeight w:val="275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34" w:end="0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1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5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/>
            </w:pPr>
            <w:r>
              <w:rPr>
                <w:i/>
                <w:sz w:val="18"/>
                <w:szCs w:val="18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Участник 1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24.11.2025 15:00:58</w:t>
            </w:r>
          </w:p>
          <w:p>
            <w:pPr>
              <w:pStyle w:val="Normal"/>
              <w:rPr/>
            </w:pPr>
            <w:r>
              <w:rPr/>
              <w:t>5 416 666,67 руб. без НДС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/>
            </w:pPr>
            <w:r>
              <w:rPr/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Участник 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11.12.2025 11:41:26</w:t>
            </w:r>
          </w:p>
          <w:p>
            <w:pPr>
              <w:pStyle w:val="Normal"/>
              <w:rPr/>
            </w:pPr>
            <w:r>
              <w:rPr/>
              <w:t>8 351 000,00 руб. без НДС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/>
            </w:pPr>
            <w:r>
              <w:rPr/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Участник 3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15.12.2025 11:44:24</w:t>
            </w:r>
          </w:p>
          <w:p>
            <w:pPr>
              <w:pStyle w:val="Normal"/>
              <w:rPr/>
            </w:pPr>
            <w:r>
              <w:rPr/>
              <w:t>5 598 000,00 руб. без НДС</w:t>
            </w:r>
          </w:p>
        </w:tc>
      </w:tr>
    </w:tbl>
    <w:p>
      <w:pPr>
        <w:pStyle w:val="Normal"/>
        <w:numPr>
          <w:ilvl w:val="0"/>
          <w:numId w:val="3"/>
        </w:numPr>
        <w:spacing w:before="120" w:after="120"/>
        <w:ind w:firstLine="709" w:start="0" w:end="0"/>
        <w:jc w:val="both"/>
        <w:rPr/>
      </w:pPr>
      <w:r>
        <w:rPr/>
        <w:t>Результаты рассмотрения заявок: не предусмотрено этапом закупки.</w:t>
      </w:r>
    </w:p>
    <w:p>
      <w:pPr>
        <w:pStyle w:val="Normal"/>
        <w:numPr>
          <w:ilvl w:val="0"/>
          <w:numId w:val="3"/>
        </w:numPr>
        <w:spacing w:before="120" w:after="120"/>
        <w:ind w:firstLine="709" w:start="0" w:end="0"/>
        <w:jc w:val="both"/>
        <w:rPr/>
      </w:pPr>
      <w:r>
        <w:rPr/>
        <w:t>Результаты оценки заявок: не предусмотрено этапом закупки.</w:t>
      </w:r>
    </w:p>
    <w:p>
      <w:pPr>
        <w:pStyle w:val="Normal"/>
        <w:spacing w:before="120" w:after="120"/>
        <w:jc w:val="both"/>
        <w:rPr>
          <w:lang w:val="en-US"/>
        </w:rPr>
      </w:pPr>
      <w:r>
        <w:rPr>
          <w:lang w:val="en-US"/>
        </w:rPr>
      </w:r>
    </w:p>
    <w:sectPr>
      <w:headerReference w:type="default" r:id="rId2"/>
      <w:headerReference w:type="first" r:id="rId3"/>
      <w:type w:val="nextPage"/>
      <w:pgSz w:w="11906" w:h="16838"/>
      <w:pgMar w:left="1134" w:right="851" w:gutter="0" w:header="709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alibri">
    <w:charset w:val="cc" w:characterSet="windows-1251"/>
    <w:family w:val="swiss"/>
    <w:pitch w:val="variable"/>
  </w:font>
  <w:font w:name="HeliosCond">
    <w:altName w:val="Franklin Gothic Medium Cond"/>
    <w:charset w:val="cc" w:characterSet="windows-125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1907" w:type="dxa"/>
      <w:jc w:val="start"/>
      <w:tblInd w:w="-1026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11907"/>
    </w:tblGrid>
    <w:tr>
      <w:trPr>
        <w:trHeight w:val="991" w:hRule="atLeast"/>
      </w:trPr>
      <w:tc>
        <w:tcPr>
          <w:tcW w:w="11907" w:type="dxa"/>
          <w:tcBorders/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907" w:leader="none"/>
              <w:tab w:val="left" w:pos="8931" w:leader="none"/>
            </w:tabs>
            <w:autoSpaceDE w:val="false"/>
            <w:jc w:val="center"/>
            <w:rPr>
              <w:lang w:eastAsia="en-US"/>
            </w:rPr>
          </w:pPr>
          <w:r>
            <w:rPr>
              <w:lang w:val="en-US" w:eastAsia="en-US"/>
            </w:rPr>
            <w:drawing>
              <wp:inline distT="0" distB="0" distL="0" distR="0">
                <wp:extent cx="2162175" cy="695325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3" t="-9" r="-3" b="-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62175" cy="6953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707" w:hRule="atLeast"/>
      </w:trPr>
      <w:tc>
        <w:tcPr>
          <w:tcW w:w="11907" w:type="dxa"/>
          <w:tcBorders/>
          <w:vAlign w:val="center"/>
        </w:tcPr>
        <w:p>
          <w:pPr>
            <w:pStyle w:val="Normal"/>
            <w:tabs>
              <w:tab w:val="clear" w:pos="708"/>
              <w:tab w:val="left" w:pos="8931" w:leader="none"/>
            </w:tabs>
            <w:ind w:start="1168" w:end="1167"/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Большая Пироговская ул., д. 27, стр. 3, г. Москва, Россия, 119435</w:t>
          </w:r>
        </w:p>
        <w:p>
          <w:pPr>
            <w:pStyle w:val="Normal"/>
            <w:tabs>
              <w:tab w:val="clear" w:pos="708"/>
              <w:tab w:val="left" w:pos="8931" w:leader="none"/>
            </w:tabs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Телефон: +7 (495) 664 8840, Факс: +7 (495) 664 8841</w:t>
          </w:r>
        </w:p>
        <w:p>
          <w:pPr>
            <w:pStyle w:val="Normal"/>
            <w:widowControl w:val="false"/>
            <w:tabs>
              <w:tab w:val="clear" w:pos="708"/>
              <w:tab w:val="left" w:pos="8931" w:leader="none"/>
            </w:tabs>
            <w:autoSpaceDE w:val="false"/>
            <w:ind w:start="1168" w:end="1167"/>
            <w:jc w:val="center"/>
            <w:rPr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www.interrao-zakupki.ru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1069" w:hanging="360"/>
      </w:pPr>
      <w:rPr>
        <w:i w:val="false"/>
        <w:color w:val="000000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  <w:szCs w:val="28"/>
    </w:rPr>
  </w:style>
  <w:style w:type="character" w:styleId="WW8Num2z0">
    <w:name w:val="WW8Num2z0"/>
    <w:qFormat/>
    <w:rPr>
      <w:sz w:val="20"/>
      <w:szCs w:val="20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i w:val="false"/>
      <w:color w:val="000000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7z0">
    <w:name w:val="WW8Num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9z0">
    <w:name w:val="WW8Num9z0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1z0">
    <w:name w:val="WW8Num11z0"/>
    <w:qFormat/>
    <w:rPr>
      <w:sz w:val="20"/>
      <w:szCs w:val="20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4z0">
    <w:name w:val="WW8Num14z0"/>
    <w:qFormat/>
    <w:rPr>
      <w:sz w:val="20"/>
      <w:szCs w:val="20"/>
    </w:rPr>
  </w:style>
  <w:style w:type="character" w:styleId="WW8Num15z0">
    <w:name w:val="WW8Num15z0"/>
    <w:qFormat/>
    <w:rPr/>
  </w:style>
  <w:style w:type="character" w:styleId="WW8Num15z1">
    <w:name w:val="WW8Num15z1"/>
    <w:qFormat/>
    <w:rPr>
      <w:color w:val="000000"/>
    </w:rPr>
  </w:style>
  <w:style w:type="character" w:styleId="WW8Num16z0">
    <w:name w:val="WW8Num16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9z0">
    <w:name w:val="WW8Num19z0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Style13">
    <w:name w:val="Основной шрифт абзаца"/>
    <w:qFormat/>
    <w:rPr/>
  </w:style>
  <w:style w:type="character" w:styleId="PageNumber">
    <w:name w:val="page number"/>
    <w:basedOn w:val="Style13"/>
    <w:rPr/>
  </w:style>
  <w:style w:type="character" w:styleId="Style14">
    <w:name w:val="комментарий"/>
    <w:qFormat/>
    <w:rPr>
      <w:b/>
      <w:i/>
      <w:shd w:fill="FFFF99" w:val="clear"/>
    </w:rPr>
  </w:style>
  <w:style w:type="character" w:styleId="Style15">
    <w:name w:val="Комментраий Знак"/>
    <w:qFormat/>
    <w:rPr>
      <w:i/>
      <w:color w:val="3366FF"/>
      <w:sz w:val="28"/>
      <w:szCs w:val="28"/>
      <w:lang w:val="ru-RU" w:bidi="ar-SA"/>
    </w:rPr>
  </w:style>
  <w:style w:type="character" w:styleId="Style16">
    <w:name w:val="Нижний колонтитул Знак"/>
    <w:qFormat/>
    <w:rPr>
      <w:sz w:val="24"/>
      <w:szCs w:val="24"/>
    </w:rPr>
  </w:style>
  <w:style w:type="character" w:styleId="Style17">
    <w:name w:val="Знак примечания"/>
    <w:qFormat/>
    <w:rPr>
      <w:sz w:val="16"/>
      <w:szCs w:val="16"/>
    </w:rPr>
  </w:style>
  <w:style w:type="character" w:styleId="Style18">
    <w:name w:val="Текст примечания Знак"/>
    <w:basedOn w:val="Style13"/>
    <w:qFormat/>
    <w:rPr/>
  </w:style>
  <w:style w:type="character" w:styleId="Style19">
    <w:name w:val="Тема примечания Знак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0">
    <w:name w:val="Таблица шапка"/>
    <w:basedOn w:val="Normal"/>
    <w:qFormat/>
    <w:pPr>
      <w:keepNext w:val="true"/>
      <w:spacing w:before="40" w:after="40"/>
      <w:ind w:hanging="0" w:start="57" w:end="57"/>
    </w:pPr>
    <w:rPr>
      <w:sz w:val="22"/>
      <w:szCs w:val="20"/>
    </w:rPr>
  </w:style>
  <w:style w:type="paragraph" w:styleId="Style21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Style22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Style23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4">
    <w:name w:val="Текст примечания"/>
    <w:basedOn w:val="Normal"/>
    <w:qFormat/>
    <w:pPr/>
    <w:rPr>
      <w:sz w:val="20"/>
      <w:szCs w:val="20"/>
    </w:rPr>
  </w:style>
  <w:style w:type="paragraph" w:styleId="Style25">
    <w:name w:val="Тема примечания"/>
    <w:basedOn w:val="Style24"/>
    <w:next w:val="Style24"/>
    <w:qFormat/>
    <w:pPr/>
    <w:rPr>
      <w:b/>
      <w:bCs/>
      <w:lang w:val="en-US"/>
    </w:rPr>
  </w:style>
  <w:style w:type="paragraph" w:styleId="Style26">
    <w:name w:val="Абзац списка"/>
    <w:basedOn w:val="Normal"/>
    <w:qFormat/>
    <w:pPr>
      <w:ind w:hanging="0" w:start="720" w:end="0"/>
    </w:pPr>
    <w:rPr>
      <w:rFonts w:ascii="Calibri" w:hAnsi="Calibri" w:eastAsia="Calibri" w:cs="Calibri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2025-12-15T09:24:00Z</dcterms:created>
  <dc:creator/>
  <dc:description/>
  <cp:keywords/>
  <dc:language>en-US</dc:language>
  <cp:lastModifiedBy/>
  <dcterms:modified xsi:type="dcterms:W3CDTF">2025-12-15T09:24:00Z</dcterms:modified>
  <cp:revision>1</cp:revision>
  <dc:subject/>
  <dc:title>Протокол вскрытия конвертов</dc:title>
</cp:coreProperties>
</file>