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numPr>
          <w:ilvl w:val="0"/>
          <w:numId w:val="0"/>
        </w:numPr>
        <w:jc w:val="center"/>
        <w:outlineLvl w:val="0"/>
        <w:rPr>
          <w:b/>
          <w:i/>
          <w:i/>
          <w:kern w:val="2"/>
        </w:rPr>
      </w:pPr>
      <w:r>
        <w:rPr>
          <w:b/>
          <w:i/>
          <w:kern w:val="2"/>
        </w:rPr>
        <w:t xml:space="preserve">ПРОТОКОЛ ЗАСЕДАНИЯ 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i/>
          <w:i/>
        </w:rPr>
      </w:pPr>
      <w:r>
        <w:rPr>
          <w:b/>
          <w:i/>
          <w:kern w:val="2"/>
        </w:rPr>
        <w:t xml:space="preserve">ПОСТОЯННО ДЕЙСТВУЮЩЕЙ ЗАКУПОЧНОЙ КОМИССИИ № </w:t>
      </w:r>
      <w:r>
        <w:rPr>
          <w:b/>
          <w:i/>
        </w:rPr>
        <w:t>32515379825/2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Дата заседания комиссии: 15 декабря 2025 года.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Дата подписания протокола: 15 декабря 2025 года.</w:t>
      </w:r>
    </w:p>
    <w:p>
      <w:pPr>
        <w:pStyle w:val="Normal"/>
        <w:tabs>
          <w:tab w:val="clear" w:pos="709"/>
          <w:tab w:val="left" w:pos="426" w:leader="none"/>
        </w:tabs>
        <w:rPr/>
      </w:pPr>
      <w:r>
        <w:rPr/>
        <w:t>Форма проведения заседания комиссии: очно-заочная.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Общее число членов постоянно действующей закупочной комиссии филиала ПАО «Россети Юг» - «Кубаньэнерго» составляет - 9.</w:t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6"/>
      </w:tblGrid>
      <w:tr>
        <w:trPr>
          <w:trHeight w:val="1048" w:hRule="atLeast"/>
        </w:trPr>
        <w:tc>
          <w:tcPr>
            <w:tcW w:w="10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Голосовали:</w:t>
            </w:r>
          </w:p>
          <w:p>
            <w:pPr>
              <w:pStyle w:val="Normal"/>
              <w:tabs>
                <w:tab w:val="clear" w:pos="709"/>
                <w:tab w:val="left" w:pos="426" w:leader="none"/>
              </w:tabs>
              <w:jc w:val="both"/>
              <w:rPr>
                <w:b/>
                <w:bCs/>
              </w:rPr>
            </w:pPr>
            <w:r>
              <w:rPr>
                <w:b/>
                <w:color w:val="000000"/>
              </w:rPr>
              <w:t>Председатель ПДЗК:</w:t>
            </w:r>
            <w:r>
              <w:rPr>
                <w:color w:val="000000"/>
              </w:rPr>
              <w:t xml:space="preserve"> </w:t>
            </w:r>
            <w:r>
              <w:rPr>
                <w:bCs/>
              </w:rPr>
              <w:t>В.А. Коржаневский,</w:t>
            </w:r>
          </w:p>
          <w:p>
            <w:pPr>
              <w:pStyle w:val="Normal"/>
              <w:tabs>
                <w:tab w:val="clear" w:pos="709"/>
                <w:tab w:val="left" w:pos="426" w:leader="none"/>
              </w:tabs>
              <w:jc w:val="both"/>
              <w:rPr>
                <w:bCs/>
              </w:rPr>
            </w:pPr>
            <w:r>
              <w:rPr>
                <w:b/>
                <w:bCs/>
              </w:rPr>
              <w:t xml:space="preserve">Заместители председателя ПДЗК: </w:t>
            </w:r>
            <w:r>
              <w:rPr>
                <w:bCs/>
              </w:rPr>
              <w:t xml:space="preserve">О.Ф. Нищук, </w:t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/>
                <w:bCs/>
              </w:rPr>
              <w:t xml:space="preserve">Члены ПДЗК: </w:t>
            </w:r>
            <w:r>
              <w:rPr>
                <w:color w:val="000000"/>
              </w:rPr>
              <w:t>Д.А. Коновалов,</w:t>
            </w:r>
            <w:r>
              <w:rPr/>
              <w:t xml:space="preserve"> </w:t>
            </w:r>
            <w:r>
              <w:rPr>
                <w:bCs/>
              </w:rPr>
              <w:t>С.С. Шевченко, А.А. Часов,</w:t>
            </w:r>
            <w:r>
              <w:rPr/>
              <w:t xml:space="preserve"> О.В. Бабак, </w:t>
            </w:r>
          </w:p>
          <w:p>
            <w:pPr>
              <w:pStyle w:val="Normal"/>
              <w:rPr/>
            </w:pPr>
            <w:r>
              <w:rPr>
                <w:b/>
              </w:rPr>
              <w:t>Не приняли участие в голосовании:</w:t>
            </w:r>
            <w:r>
              <w:rPr>
                <w:bCs/>
              </w:rPr>
              <w:t xml:space="preserve"> </w:t>
            </w:r>
            <w:r>
              <w:rPr/>
              <w:t>В.А. Михайлов,</w:t>
            </w:r>
            <w:r>
              <w:rPr>
                <w:bCs/>
              </w:rPr>
              <w:t xml:space="preserve"> С.С. Заворин, </w:t>
            </w:r>
            <w:r>
              <w:rPr/>
              <w:t>О.В. Крылов.</w:t>
            </w:r>
          </w:p>
        </w:tc>
      </w:tr>
    </w:tbl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Кворум имеется. Комиссия правомочна.</w:t>
      </w:r>
    </w:p>
    <w:p>
      <w:pPr>
        <w:pStyle w:val="Normal"/>
        <w:tabs>
          <w:tab w:val="left" w:pos="709" w:leader="none"/>
        </w:tabs>
        <w:jc w:val="both"/>
        <w:rPr/>
      </w:pPr>
      <w:r>
        <w:rPr/>
      </w:r>
    </w:p>
    <w:p>
      <w:pPr>
        <w:pStyle w:val="Normal"/>
        <w:tabs>
          <w:tab w:val="left" w:pos="709" w:leader="none"/>
        </w:tabs>
        <w:jc w:val="both"/>
        <w:rPr/>
      </w:pPr>
      <w:r>
        <w:rPr/>
        <w:t xml:space="preserve">Настоящий </w:t>
      </w:r>
      <w:r>
        <w:rPr>
          <w:bCs/>
        </w:rPr>
        <w:t xml:space="preserve">запрос предложений </w:t>
      </w:r>
      <w:r>
        <w:rPr/>
        <w:t xml:space="preserve">в электронной форме проводится с использованием функционала Единой электронной торговой площадки «Росэлторг» </w:t>
      </w:r>
      <w:r>
        <w:rPr>
          <w:color w:val="000000"/>
        </w:rPr>
        <w:t>(далее - ЕЭТП)</w:t>
      </w:r>
      <w:r>
        <w:rPr>
          <w:b/>
          <w:color w:val="000000"/>
        </w:rPr>
        <w:t xml:space="preserve"> </w:t>
      </w:r>
      <w:r>
        <w:rPr/>
        <w:t>согласно Правилам работы данной системы.</w:t>
      </w:r>
    </w:p>
    <w:p>
      <w:pPr>
        <w:pStyle w:val="Normal"/>
        <w:tabs>
          <w:tab w:val="left" w:pos="709" w:leader="none"/>
        </w:tabs>
        <w:jc w:val="both"/>
        <w:rPr/>
      </w:pPr>
      <w:r>
        <w:rPr/>
      </w:r>
    </w:p>
    <w:p>
      <w:pPr>
        <w:pStyle w:val="31"/>
        <w:numPr>
          <w:ilvl w:val="0"/>
          <w:numId w:val="2"/>
        </w:numPr>
        <w:tabs>
          <w:tab w:val="clear" w:pos="709"/>
          <w:tab w:val="left" w:pos="426" w:leader="none"/>
        </w:tabs>
        <w:ind w:hanging="0" w:start="0" w:end="0"/>
        <w:rPr>
          <w:b/>
          <w:bCs/>
          <w:caps/>
          <w:sz w:val="24"/>
          <w:szCs w:val="24"/>
          <w:lang w:val="ru-RU"/>
        </w:rPr>
      </w:pPr>
      <w:r>
        <w:rPr>
          <w:b/>
          <w:bCs/>
          <w:caps/>
          <w:sz w:val="24"/>
          <w:szCs w:val="24"/>
          <w:lang w:val="ru-RU"/>
        </w:rPr>
        <w:t>ВОПРОСЫ ЗАСЕДАНИЯ ПОСТОЯННО ДЕЙСТВУЮЩЕЙ ЗАКУПОЧНОЙ КОМИССИИ:</w:t>
      </w:r>
    </w:p>
    <w:p>
      <w:pPr>
        <w:pStyle w:val="31"/>
        <w:numPr>
          <w:ilvl w:val="0"/>
          <w:numId w:val="6"/>
        </w:numPr>
        <w:tabs>
          <w:tab w:val="clear" w:pos="709"/>
          <w:tab w:val="left" w:pos="284" w:leader="none"/>
          <w:tab w:val="left" w:pos="1276" w:leader="none"/>
        </w:tabs>
        <w:ind w:hanging="0" w:start="0" w:end="0"/>
        <w:rPr>
          <w:sz w:val="24"/>
          <w:szCs w:val="24"/>
        </w:rPr>
      </w:pPr>
      <w:r>
        <w:rPr>
          <w:sz w:val="24"/>
          <w:szCs w:val="24"/>
          <w:lang w:val="ru-RU"/>
        </w:rPr>
        <w:t>О переносе срока.</w:t>
      </w:r>
    </w:p>
    <w:p>
      <w:pPr>
        <w:pStyle w:val="31"/>
        <w:numPr>
          <w:ilvl w:val="0"/>
          <w:numId w:val="6"/>
        </w:numPr>
        <w:tabs>
          <w:tab w:val="clear" w:pos="709"/>
          <w:tab w:val="left" w:pos="284" w:leader="none"/>
          <w:tab w:val="left" w:pos="1276" w:leader="none"/>
        </w:tabs>
        <w:ind w:hanging="0" w:start="0" w:end="0"/>
        <w:rPr>
          <w:sz w:val="24"/>
          <w:szCs w:val="24"/>
        </w:rPr>
      </w:pPr>
      <w:r>
        <w:rPr>
          <w:bCs/>
          <w:sz w:val="24"/>
          <w:szCs w:val="24"/>
          <w:lang w:val="ru-RU"/>
        </w:rPr>
        <w:t xml:space="preserve">О признании проведения </w:t>
      </w:r>
      <w:r>
        <w:rPr>
          <w:sz w:val="24"/>
          <w:szCs w:val="24"/>
          <w:lang w:val="ru-RU"/>
        </w:rPr>
        <w:t>процедуры переторжки несостоявшейся</w:t>
      </w:r>
      <w:r>
        <w:rPr>
          <w:sz w:val="24"/>
          <w:szCs w:val="24"/>
        </w:rPr>
        <w:t>.</w:t>
      </w:r>
    </w:p>
    <w:p>
      <w:pPr>
        <w:pStyle w:val="Style22"/>
        <w:numPr>
          <w:ilvl w:val="0"/>
          <w:numId w:val="6"/>
        </w:numPr>
        <w:tabs>
          <w:tab w:val="clear" w:pos="709"/>
          <w:tab w:val="left" w:pos="284" w:leader="none"/>
          <w:tab w:val="left" w:pos="426" w:leader="none"/>
        </w:tabs>
        <w:autoSpaceDE w:val="false"/>
        <w:spacing w:before="0" w:after="0"/>
        <w:ind w:hanging="0" w:start="0" w:end="0"/>
        <w:contextualSpacing/>
        <w:jc w:val="both"/>
        <w:rPr>
          <w:color w:val="000000"/>
        </w:rPr>
      </w:pPr>
      <w:r>
        <w:rPr>
          <w:color w:val="000000"/>
        </w:rPr>
        <w:t>О рассмотрении экспертного заключения и принятии его к сведению.</w:t>
      </w:r>
    </w:p>
    <w:p>
      <w:pPr>
        <w:pStyle w:val="Style22"/>
        <w:numPr>
          <w:ilvl w:val="0"/>
          <w:numId w:val="6"/>
        </w:numPr>
        <w:tabs>
          <w:tab w:val="clear" w:pos="709"/>
          <w:tab w:val="left" w:pos="284" w:leader="none"/>
        </w:tabs>
        <w:autoSpaceDE w:val="false"/>
        <w:spacing w:before="0" w:after="0"/>
        <w:ind w:hanging="0" w:start="0" w:end="0"/>
        <w:contextualSpacing/>
        <w:jc w:val="both"/>
        <w:rPr>
          <w:color w:val="000000"/>
        </w:rPr>
      </w:pPr>
      <w:r>
        <w:rPr>
          <w:color w:val="000000"/>
        </w:rPr>
        <w:t>О признании заяв</w:t>
      </w:r>
      <w:r>
        <w:rPr>
          <w:color w:val="000000"/>
          <w:lang w:val="ru-RU"/>
        </w:rPr>
        <w:t>ки</w:t>
      </w:r>
      <w:r>
        <w:rPr>
          <w:color w:val="000000"/>
        </w:rPr>
        <w:t xml:space="preserve"> участник</w:t>
      </w:r>
      <w:r>
        <w:rPr>
          <w:color w:val="000000"/>
          <w:lang w:val="ru-RU"/>
        </w:rPr>
        <w:t>а</w:t>
      </w:r>
      <w:r>
        <w:rPr>
          <w:color w:val="000000"/>
        </w:rPr>
        <w:t xml:space="preserve"> соответствующ</w:t>
      </w:r>
      <w:r>
        <w:rPr>
          <w:color w:val="000000"/>
          <w:lang w:val="ru-RU"/>
        </w:rPr>
        <w:t>ей</w:t>
      </w:r>
      <w:r>
        <w:rPr>
          <w:color w:val="000000"/>
        </w:rPr>
        <w:t xml:space="preserve"> </w:t>
      </w:r>
      <w:r>
        <w:rPr>
          <w:bCs/>
          <w:color w:val="000000"/>
        </w:rPr>
        <w:t xml:space="preserve">условиям </w:t>
      </w:r>
      <w:r>
        <w:rPr>
          <w:bCs/>
          <w:color w:val="000000"/>
          <w:lang w:val="ru-RU"/>
        </w:rPr>
        <w:t>запроса предложений</w:t>
      </w:r>
      <w:r>
        <w:rPr>
          <w:color w:val="000000"/>
        </w:rPr>
        <w:t xml:space="preserve"> в электронной форме по результатам рассмотрения ценов</w:t>
      </w:r>
      <w:r>
        <w:rPr>
          <w:color w:val="000000"/>
          <w:lang w:val="ru-RU"/>
        </w:rPr>
        <w:t xml:space="preserve">ого </w:t>
      </w:r>
      <w:r>
        <w:rPr>
          <w:color w:val="000000"/>
        </w:rPr>
        <w:t>предложени</w:t>
      </w:r>
      <w:r>
        <w:rPr>
          <w:color w:val="000000"/>
          <w:lang w:val="ru-RU"/>
        </w:rPr>
        <w:t xml:space="preserve">я </w:t>
      </w:r>
      <w:r>
        <w:rPr>
          <w:color w:val="000000"/>
        </w:rPr>
        <w:t>заяв</w:t>
      </w:r>
      <w:r>
        <w:rPr>
          <w:color w:val="000000"/>
          <w:lang w:val="ru-RU"/>
        </w:rPr>
        <w:t>ки</w:t>
      </w:r>
      <w:r>
        <w:rPr>
          <w:color w:val="000000"/>
        </w:rPr>
        <w:t>.</w:t>
      </w:r>
    </w:p>
    <w:p>
      <w:pPr>
        <w:pStyle w:val="Style22"/>
        <w:numPr>
          <w:ilvl w:val="0"/>
          <w:numId w:val="6"/>
        </w:numPr>
        <w:tabs>
          <w:tab w:val="clear" w:pos="709"/>
          <w:tab w:val="left" w:pos="142" w:leader="none"/>
          <w:tab w:val="left" w:pos="284" w:leader="none"/>
        </w:tabs>
        <w:autoSpaceDE w:val="false"/>
        <w:spacing w:before="0" w:after="0"/>
        <w:ind w:hanging="0" w:start="0" w:end="0"/>
        <w:contextualSpacing/>
        <w:jc w:val="both"/>
        <w:rPr>
          <w:color w:val="000000"/>
        </w:rPr>
      </w:pPr>
      <w:r>
        <w:rPr/>
        <w:t xml:space="preserve">О признании </w:t>
      </w:r>
      <w:r>
        <w:rPr>
          <w:lang w:val="ru-RU"/>
        </w:rPr>
        <w:t>запроса предложений</w:t>
      </w:r>
      <w:r>
        <w:rPr/>
        <w:t xml:space="preserve"> в электронной форме несостоявшимся, согласовании заключения договора</w:t>
      </w:r>
      <w:r>
        <w:rPr>
          <w:color w:val="000000"/>
        </w:rPr>
        <w:t>.</w:t>
      </w:r>
    </w:p>
    <w:p>
      <w:pPr>
        <w:pStyle w:val="Style22"/>
        <w:tabs>
          <w:tab w:val="clear" w:pos="709"/>
          <w:tab w:val="left" w:pos="142" w:leader="none"/>
          <w:tab w:val="left" w:pos="284" w:leader="none"/>
        </w:tabs>
        <w:autoSpaceDE w:val="false"/>
        <w:spacing w:before="0" w:after="0"/>
        <w:ind w:start="0" w:end="0"/>
        <w:contextualSpacing/>
        <w:jc w:val="both"/>
        <w:rPr>
          <w:color w:val="000000"/>
        </w:rPr>
      </w:pPr>
      <w:r>
        <w:rPr>
          <w:color w:val="000000"/>
        </w:rPr>
      </w:r>
    </w:p>
    <w:p>
      <w:pPr>
        <w:pStyle w:val="31"/>
        <w:numPr>
          <w:ilvl w:val="0"/>
          <w:numId w:val="2"/>
        </w:numPr>
        <w:tabs>
          <w:tab w:val="clear" w:pos="709"/>
          <w:tab w:val="left" w:pos="142" w:leader="none"/>
          <w:tab w:val="left" w:pos="426" w:leader="none"/>
        </w:tabs>
        <w:ind w:hanging="0" w:start="0" w:end="0"/>
        <w:rPr>
          <w:b/>
          <w:bCs/>
          <w:caps/>
          <w:sz w:val="24"/>
          <w:szCs w:val="24"/>
          <w:lang w:val="ru-RU"/>
        </w:rPr>
      </w:pPr>
      <w:r>
        <w:rPr>
          <w:b/>
          <w:bCs/>
          <w:caps/>
          <w:sz w:val="24"/>
          <w:szCs w:val="24"/>
        </w:rPr>
        <w:t>Информация о закупке</w:t>
      </w:r>
      <w:r>
        <w:rPr>
          <w:b/>
          <w:bCs/>
          <w:caps/>
          <w:sz w:val="24"/>
          <w:szCs w:val="24"/>
          <w:lang w:val="ru-RU"/>
        </w:rPr>
        <w:t>.</w:t>
      </w:r>
    </w:p>
    <w:p>
      <w:pPr>
        <w:pStyle w:val="31"/>
        <w:numPr>
          <w:ilvl w:val="0"/>
          <w:numId w:val="3"/>
        </w:numPr>
        <w:tabs>
          <w:tab w:val="clear" w:pos="709"/>
          <w:tab w:val="left" w:pos="142" w:leader="none"/>
          <w:tab w:val="left" w:pos="284" w:leader="none"/>
        </w:tabs>
        <w:ind w:hanging="0" w:start="0" w:end="0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Извещение </w:t>
      </w:r>
      <w:r>
        <w:rPr>
          <w:bCs/>
          <w:iCs/>
          <w:sz w:val="24"/>
          <w:szCs w:val="24"/>
          <w:lang w:val="ru-RU"/>
        </w:rPr>
        <w:t xml:space="preserve">о </w:t>
      </w:r>
      <w:r>
        <w:rPr>
          <w:bCs/>
          <w:iCs/>
          <w:sz w:val="24"/>
          <w:szCs w:val="24"/>
        </w:rPr>
        <w:t xml:space="preserve">проведении </w:t>
      </w:r>
      <w:r>
        <w:rPr>
          <w:bCs/>
          <w:iCs/>
          <w:sz w:val="24"/>
          <w:szCs w:val="24"/>
          <w:lang w:val="ru-RU"/>
        </w:rPr>
        <w:t xml:space="preserve">запроса предложений </w:t>
      </w:r>
      <w:r>
        <w:rPr>
          <w:bCs/>
          <w:iCs/>
          <w:sz w:val="24"/>
          <w:szCs w:val="24"/>
        </w:rPr>
        <w:t>в электронной форме от</w:t>
      </w:r>
      <w:r>
        <w:rPr>
          <w:bCs/>
          <w:iCs/>
          <w:sz w:val="24"/>
          <w:szCs w:val="24"/>
          <w:lang w:val="ru-RU"/>
        </w:rPr>
        <w:t xml:space="preserve"> 07</w:t>
      </w:r>
      <w:r>
        <w:rPr>
          <w:bCs/>
          <w:iCs/>
          <w:sz w:val="24"/>
          <w:szCs w:val="24"/>
        </w:rPr>
        <w:t>.</w:t>
      </w:r>
      <w:r>
        <w:rPr>
          <w:bCs/>
          <w:iCs/>
          <w:sz w:val="24"/>
          <w:szCs w:val="24"/>
          <w:lang w:val="ru-RU"/>
        </w:rPr>
        <w:t>11</w:t>
      </w:r>
      <w:r>
        <w:rPr>
          <w:bCs/>
          <w:iCs/>
          <w:sz w:val="24"/>
          <w:szCs w:val="24"/>
        </w:rPr>
        <w:t>.202</w:t>
      </w:r>
      <w:r>
        <w:rPr>
          <w:bCs/>
          <w:iCs/>
          <w:sz w:val="24"/>
          <w:szCs w:val="24"/>
          <w:lang w:val="ru-RU"/>
        </w:rPr>
        <w:t xml:space="preserve">5 </w:t>
      </w:r>
      <w:r>
        <w:rPr>
          <w:b/>
          <w:bCs/>
          <w:iCs/>
          <w:sz w:val="24"/>
          <w:szCs w:val="24"/>
          <w:lang w:val="ru-RU"/>
        </w:rPr>
        <w:t xml:space="preserve">№ </w:t>
      </w:r>
      <w:r>
        <w:rPr>
          <w:b/>
          <w:bCs/>
          <w:iCs/>
          <w:sz w:val="24"/>
          <w:szCs w:val="24"/>
        </w:rPr>
        <w:t>32515379825</w:t>
      </w:r>
      <w:r>
        <w:rPr>
          <w:bCs/>
          <w:iCs/>
          <w:sz w:val="24"/>
          <w:szCs w:val="24"/>
        </w:rPr>
        <w:t>, опубликовано на официальном сайте Единой информационной системы в сфере закупок (</w:t>
      </w:r>
      <w:hyperlink r:id="rId2">
        <w:r>
          <w:rPr>
            <w:rStyle w:val="Hyperlink"/>
            <w:bCs/>
            <w:iCs/>
            <w:sz w:val="24"/>
            <w:szCs w:val="24"/>
          </w:rPr>
          <w:t>www.zakupki.gov.ru</w:t>
        </w:r>
      </w:hyperlink>
      <w:r>
        <w:rPr>
          <w:bCs/>
          <w:iCs/>
          <w:sz w:val="24"/>
          <w:szCs w:val="24"/>
        </w:rPr>
        <w:t>), с копией публикации</w:t>
      </w:r>
      <w:r>
        <w:rPr>
          <w:bCs/>
          <w:iCs/>
          <w:sz w:val="24"/>
          <w:szCs w:val="24"/>
          <w:lang w:val="ru-RU"/>
        </w:rPr>
        <w:t xml:space="preserve"> </w:t>
      </w:r>
      <w:r>
        <w:rPr>
          <w:bCs/>
          <w:iCs/>
          <w:sz w:val="24"/>
          <w:szCs w:val="24"/>
        </w:rPr>
        <w:t xml:space="preserve">на Единой электронной торговой площадке «Росэлторг» </w:t>
      </w:r>
      <w:r>
        <w:rPr>
          <w:bCs/>
          <w:iCs/>
          <w:color w:val="0000FF"/>
          <w:sz w:val="24"/>
          <w:szCs w:val="24"/>
          <w:u w:val="single"/>
        </w:rPr>
        <w:t>(www.roseltorg.ru).</w:t>
      </w:r>
    </w:p>
    <w:tbl>
      <w:tblPr>
        <w:tblW w:w="485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71"/>
        <w:gridCol w:w="1855"/>
        <w:gridCol w:w="3473"/>
      </w:tblGrid>
      <w:tr>
        <w:trPr>
          <w:trHeight w:val="58" w:hRule="atLeast"/>
          <w:cantSplit w:val="true"/>
        </w:trPr>
        <w:tc>
          <w:tcPr>
            <w:tcW w:w="4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Предмет договора</w:t>
            </w:r>
          </w:p>
        </w:tc>
        <w:tc>
          <w:tcPr>
            <w:tcW w:w="1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1"/>
              <w:tabs>
                <w:tab w:val="clear" w:pos="709"/>
                <w:tab w:val="left" w:pos="900" w:leader="none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Цена </w:t>
            </w:r>
          </w:p>
          <w:p>
            <w:pPr>
              <w:pStyle w:val="31"/>
              <w:tabs>
                <w:tab w:val="clear" w:pos="709"/>
                <w:tab w:val="left" w:pos="900" w:leader="none"/>
              </w:tabs>
              <w:ind w:firstLine="10" w:end="0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</w:rPr>
              <w:t>закупаемых товаров, работ, услуг</w:t>
            </w:r>
          </w:p>
        </w:tc>
        <w:tc>
          <w:tcPr>
            <w:tcW w:w="3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1"/>
              <w:tabs>
                <w:tab w:val="clear" w:pos="709"/>
                <w:tab w:val="left" w:pos="900" w:leader="none"/>
              </w:tabs>
              <w:ind w:hanging="105" w:end="0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Срок поставки/ выполнения работ/ оказания услуг</w:t>
            </w:r>
          </w:p>
        </w:tc>
      </w:tr>
      <w:tr>
        <w:trPr>
          <w:trHeight w:val="612" w:hRule="atLeast"/>
          <w:cantSplit w:val="true"/>
        </w:trPr>
        <w:tc>
          <w:tcPr>
            <w:tcW w:w="4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Право заключения договора на поставку быстровозводимого модульного здания для филиала АО «Россети Кубань» Сочинские электрические сети</w:t>
            </w:r>
          </w:p>
        </w:tc>
        <w:tc>
          <w:tcPr>
            <w:tcW w:w="1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136" w:end="0"/>
              <w:jc w:val="center"/>
              <w:rPr/>
            </w:pPr>
            <w:r>
              <w:rPr/>
              <w:t xml:space="preserve">9 500 000, 00 </w:t>
            </w:r>
          </w:p>
          <w:p>
            <w:pPr>
              <w:pStyle w:val="Normal"/>
              <w:ind w:start="136" w:end="0"/>
              <w:jc w:val="center"/>
              <w:rPr/>
            </w:pPr>
            <w:r>
              <w:rPr/>
              <w:t>руб. с НДС</w:t>
            </w:r>
          </w:p>
        </w:tc>
        <w:tc>
          <w:tcPr>
            <w:tcW w:w="3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В течение 15 рабочих дней с момента подписания договора</w:t>
            </w:r>
          </w:p>
        </w:tc>
      </w:tr>
    </w:tbl>
    <w:p>
      <w:pPr>
        <w:pStyle w:val="31"/>
        <w:numPr>
          <w:ilvl w:val="0"/>
          <w:numId w:val="3"/>
        </w:numPr>
        <w:tabs>
          <w:tab w:val="clear" w:pos="709"/>
          <w:tab w:val="left" w:pos="426" w:leader="none"/>
        </w:tabs>
        <w:ind w:hanging="0" w:start="0" w:end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На момент окончания срока подачи заявок </w:t>
      </w:r>
      <w:r>
        <w:rPr>
          <w:bCs/>
          <w:sz w:val="24"/>
          <w:szCs w:val="24"/>
          <w:lang w:val="ru-RU"/>
        </w:rPr>
        <w:t xml:space="preserve">19.11.2025 г. 11:00 (время московское) на </w:t>
      </w:r>
      <w:r>
        <w:rPr>
          <w:bCs/>
          <w:sz w:val="24"/>
          <w:szCs w:val="24"/>
        </w:rPr>
        <w:t xml:space="preserve">ЕЭТП </w:t>
      </w:r>
      <w:r>
        <w:rPr>
          <w:bCs/>
          <w:iCs/>
          <w:sz w:val="24"/>
          <w:szCs w:val="24"/>
        </w:rPr>
        <w:t>«Росэлторг»</w:t>
      </w:r>
      <w:r>
        <w:rPr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</w:rPr>
        <w:t>был</w:t>
      </w:r>
      <w:r>
        <w:rPr>
          <w:bCs/>
          <w:sz w:val="24"/>
          <w:szCs w:val="24"/>
          <w:lang w:val="ru-RU"/>
        </w:rPr>
        <w:t>о</w:t>
      </w:r>
      <w:r>
        <w:rPr>
          <w:bCs/>
          <w:sz w:val="24"/>
          <w:szCs w:val="24"/>
        </w:rPr>
        <w:t xml:space="preserve"> подан</w:t>
      </w:r>
      <w:r>
        <w:rPr>
          <w:bCs/>
          <w:sz w:val="24"/>
          <w:szCs w:val="24"/>
          <w:lang w:val="ru-RU"/>
        </w:rPr>
        <w:t>о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  <w:lang w:val="ru-RU"/>
        </w:rPr>
        <w:t>2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  <w:lang w:val="ru-RU"/>
        </w:rPr>
        <w:t>(две)</w:t>
      </w:r>
      <w:r>
        <w:rPr>
          <w:bCs/>
          <w:sz w:val="24"/>
          <w:szCs w:val="24"/>
        </w:rPr>
        <w:t xml:space="preserve"> заяв</w:t>
      </w:r>
      <w:r>
        <w:rPr>
          <w:bCs/>
          <w:sz w:val="24"/>
          <w:szCs w:val="24"/>
          <w:lang w:val="ru-RU"/>
        </w:rPr>
        <w:t>ки</w:t>
      </w:r>
      <w:r>
        <w:rPr>
          <w:bCs/>
          <w:sz w:val="24"/>
          <w:szCs w:val="24"/>
        </w:rPr>
        <w:t xml:space="preserve"> участник</w:t>
      </w:r>
      <w:r>
        <w:rPr>
          <w:bCs/>
          <w:sz w:val="24"/>
          <w:szCs w:val="24"/>
          <w:lang w:val="ru-RU"/>
        </w:rPr>
        <w:t>ов</w:t>
      </w:r>
      <w:r>
        <w:rPr/>
        <w:t>:</w:t>
      </w:r>
    </w:p>
    <w:tbl>
      <w:tblPr>
        <w:tblW w:w="102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0"/>
        <w:gridCol w:w="4864"/>
        <w:gridCol w:w="4536"/>
      </w:tblGrid>
      <w:tr>
        <w:trPr>
          <w:trHeight w:val="240" w:hRule="atLeast"/>
        </w:trPr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№ </w:t>
            </w:r>
            <w:r>
              <w:rPr>
                <w:bCs/>
                <w:color w:val="000000"/>
              </w:rPr>
              <w:t>п/п</w:t>
            </w:r>
          </w:p>
        </w:tc>
        <w:tc>
          <w:tcPr>
            <w:tcW w:w="4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Наименование участника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Cs/>
                <w:color w:val="000000"/>
              </w:rPr>
              <w:t>Дата и время подачи заявки</w:t>
            </w:r>
          </w:p>
        </w:tc>
      </w:tr>
      <w:tr>
        <w:trPr>
          <w:trHeight w:val="70" w:hRule="atLeast"/>
        </w:trPr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4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«АРТСТРОЙСЕРВИС-18»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13.11.2025 в 08:05 (МСК)</w:t>
            </w:r>
          </w:p>
        </w:tc>
      </w:tr>
      <w:tr>
        <w:trPr>
          <w:trHeight w:val="70" w:hRule="atLeast"/>
        </w:trPr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4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«АБС ЛОГИСТИК»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15.11.2025 в 16:31 (МСК)</w:t>
            </w:r>
          </w:p>
        </w:tc>
      </w:tr>
    </w:tbl>
    <w:p>
      <w:pPr>
        <w:pStyle w:val="31"/>
        <w:numPr>
          <w:ilvl w:val="0"/>
          <w:numId w:val="2"/>
        </w:numPr>
        <w:ind w:hanging="0" w:start="0" w:end="0"/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>Результаты рассмотрения заяв</w:t>
      </w:r>
      <w:r>
        <w:rPr>
          <w:b/>
          <w:bCs/>
          <w:caps/>
          <w:sz w:val="24"/>
          <w:szCs w:val="24"/>
          <w:lang w:val="ru-RU"/>
        </w:rPr>
        <w:t>О</w:t>
      </w:r>
      <w:r>
        <w:rPr>
          <w:b/>
          <w:bCs/>
          <w:caps/>
          <w:sz w:val="24"/>
          <w:szCs w:val="24"/>
        </w:rPr>
        <w:t>к Участник</w:t>
      </w:r>
      <w:r>
        <w:rPr>
          <w:b/>
          <w:bCs/>
          <w:caps/>
          <w:sz w:val="24"/>
          <w:szCs w:val="24"/>
          <w:lang w:val="ru-RU"/>
        </w:rPr>
        <w:t>ОВ:</w:t>
      </w:r>
    </w:p>
    <w:p>
      <w:pPr>
        <w:pStyle w:val="P-Style"/>
        <w:numPr>
          <w:ilvl w:val="0"/>
          <w:numId w:val="4"/>
        </w:numPr>
        <w:tabs>
          <w:tab w:val="clear" w:pos="709"/>
          <w:tab w:val="left" w:pos="426" w:leader="none"/>
        </w:tabs>
        <w:spacing w:lineRule="auto" w:line="240" w:before="0" w:after="0"/>
        <w:ind w:hanging="0" w:start="0" w:end="0"/>
        <w:jc w:val="both"/>
        <w:rPr>
          <w:bCs/>
        </w:rPr>
      </w:pPr>
      <w:r>
        <w:rPr>
          <w:bCs/>
        </w:rPr>
        <w:t>Постоянно действующая закупочная комиссия рассмотрела заявки участников закупки на соответствие требованиям, установленным в документации, и приняла решение</w:t>
      </w:r>
      <w:r>
        <w:rPr/>
        <w:t>:</w:t>
      </w:r>
    </w:p>
    <w:tbl>
      <w:tblPr>
        <w:tblW w:w="485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88"/>
        <w:gridCol w:w="2611"/>
        <w:gridCol w:w="1788"/>
        <w:gridCol w:w="4812"/>
      </w:tblGrid>
      <w:tr>
        <w:trPr>
          <w:tblHeader w:val="true"/>
          <w:trHeight w:val="450" w:hRule="atLeast"/>
          <w:cantSplit w:val="true"/>
        </w:trPr>
        <w:tc>
          <w:tcPr>
            <w:tcW w:w="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№ </w:t>
            </w:r>
            <w:r>
              <w:rPr>
                <w:color w:val="000000"/>
              </w:rPr>
              <w:t>п/п</w:t>
            </w:r>
          </w:p>
        </w:tc>
        <w:tc>
          <w:tcPr>
            <w:tcW w:w="2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"/>
              <w:rPr>
                <w:b w:val="false"/>
                <w:bCs/>
                <w:sz w:val="24"/>
                <w:szCs w:val="24"/>
              </w:rPr>
            </w:pPr>
            <w:r>
              <w:rPr>
                <w:b w:val="false"/>
                <w:bCs/>
                <w:sz w:val="24"/>
                <w:szCs w:val="24"/>
              </w:rPr>
              <w:t>Наименование участника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"/>
              <w:rPr>
                <w:b w:val="false"/>
                <w:bCs/>
                <w:sz w:val="24"/>
                <w:szCs w:val="24"/>
              </w:rPr>
            </w:pPr>
            <w:r>
              <w:rPr>
                <w:b w:val="false"/>
                <w:bCs/>
                <w:sz w:val="24"/>
                <w:szCs w:val="24"/>
              </w:rPr>
              <w:t>Принятое решение</w:t>
            </w:r>
          </w:p>
        </w:tc>
        <w:tc>
          <w:tcPr>
            <w:tcW w:w="4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"/>
              <w:rPr>
                <w:b w:val="false"/>
                <w:bCs/>
                <w:sz w:val="24"/>
                <w:szCs w:val="24"/>
              </w:rPr>
            </w:pPr>
            <w:r>
              <w:rPr>
                <w:b w:val="false"/>
                <w:bCs/>
                <w:sz w:val="24"/>
                <w:szCs w:val="24"/>
              </w:rPr>
              <w:t>Основание для отклонения заявки</w:t>
            </w:r>
          </w:p>
        </w:tc>
      </w:tr>
      <w:tr>
        <w:trPr>
          <w:trHeight w:val="243" w:hRule="atLeast"/>
          <w:cantSplit w:val="true"/>
        </w:trPr>
        <w:tc>
          <w:tcPr>
            <w:tcW w:w="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2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«АРТСТРОЙСЕРВИС-18»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Соответствует, допустить</w:t>
            </w:r>
          </w:p>
        </w:tc>
        <w:tc>
          <w:tcPr>
            <w:tcW w:w="4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0"/>
              <w:rPr>
                <w:bCs/>
              </w:rPr>
            </w:pPr>
            <w:r>
              <w:rPr>
                <w:bCs/>
              </w:rPr>
              <w:t>-</w:t>
            </w:r>
          </w:p>
        </w:tc>
      </w:tr>
      <w:tr>
        <w:trPr>
          <w:trHeight w:val="243" w:hRule="atLeast"/>
          <w:cantSplit w:val="true"/>
        </w:trPr>
        <w:tc>
          <w:tcPr>
            <w:tcW w:w="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2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«АБС ЛОГИСТИК»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Не соответствует, отклонить</w:t>
            </w:r>
          </w:p>
        </w:tc>
        <w:tc>
          <w:tcPr>
            <w:tcW w:w="4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0"/>
              <w:rPr>
                <w:bCs/>
              </w:rPr>
            </w:pPr>
            <w:r>
              <w:rPr>
                <w:bCs/>
              </w:rPr>
              <w:t xml:space="preserve">- </w:t>
            </w:r>
            <w:r>
              <w:rPr/>
              <w:t xml:space="preserve">не представлено обеспечение заявки на участие в закупке (не соответствует п. 3.6 Документации о закупке, п. 16 Информационной карты закупки, пп. 9 п. 8 приложения 2 к части </w:t>
            </w:r>
            <w:r>
              <w:rPr>
                <w:lang w:val="en-US"/>
              </w:rPr>
              <w:t>II</w:t>
            </w:r>
            <w:r>
              <w:rPr/>
              <w:t xml:space="preserve"> Информационной карты закупки Документации о закупке); - не представлены формы №№ 1, 2, 2.1, 4, 4.2, 4.3, 6, 7, 8 (не соответствует пп. 1, 2, 4, 6, 7, 8 п. 8 приложения 2 к части </w:t>
            </w:r>
            <w:r>
              <w:rPr>
                <w:lang w:val="en-US"/>
              </w:rPr>
              <w:t>II</w:t>
            </w:r>
            <w:r>
              <w:rPr/>
              <w:t xml:space="preserve"> Информационной карты закупки, п. 3.1.1 Документации о закупке).</w:t>
            </w:r>
          </w:p>
        </w:tc>
      </w:tr>
    </w:tbl>
    <w:p>
      <w:pPr>
        <w:pStyle w:val="31"/>
        <w:numPr>
          <w:ilvl w:val="0"/>
          <w:numId w:val="2"/>
        </w:numPr>
        <w:tabs>
          <w:tab w:val="left" w:pos="709" w:leader="none"/>
        </w:tabs>
        <w:ind w:hanging="0" w:start="0" w:end="0"/>
        <w:rPr>
          <w:b/>
          <w:sz w:val="24"/>
          <w:szCs w:val="24"/>
        </w:rPr>
      </w:pPr>
      <w:r>
        <w:rPr>
          <w:b/>
          <w:bCs/>
          <w:caps/>
          <w:sz w:val="24"/>
          <w:szCs w:val="24"/>
        </w:rPr>
        <w:t>РЕШЕНИЕ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lang w:val="ru-RU"/>
        </w:rPr>
        <w:t>ПОСТОЯННО ДЕЙСТВУЮЩЕЙ ЗАКУПОЧНОЙ</w:t>
      </w:r>
      <w:r>
        <w:rPr>
          <w:b/>
          <w:sz w:val="24"/>
          <w:szCs w:val="24"/>
        </w:rPr>
        <w:t xml:space="preserve"> КОМИССИИ:</w:t>
      </w:r>
    </w:p>
    <w:p>
      <w:pPr>
        <w:pStyle w:val="Normal"/>
        <w:tabs>
          <w:tab w:val="clear" w:pos="709"/>
          <w:tab w:val="left" w:pos="426" w:leader="none"/>
          <w:tab w:val="left" w:pos="567" w:leader="none"/>
        </w:tabs>
        <w:jc w:val="both"/>
        <w:rPr/>
      </w:pPr>
      <w:r>
        <w:rPr>
          <w:bCs/>
        </w:rPr>
        <w:t>1. Перенести срок подведения итогов на 15.12.2025 г.</w:t>
      </w:r>
    </w:p>
    <w:p>
      <w:pPr>
        <w:pStyle w:val="Style22"/>
        <w:tabs>
          <w:tab w:val="clear" w:pos="709"/>
          <w:tab w:val="left" w:pos="426" w:leader="none"/>
          <w:tab w:val="left" w:pos="567" w:leader="none"/>
        </w:tabs>
        <w:ind w:start="0" w:end="0"/>
        <w:jc w:val="both"/>
        <w:rPr>
          <w:b/>
          <w:i/>
          <w:i/>
        </w:rPr>
      </w:pPr>
      <w:r>
        <w:rPr>
          <w:b/>
          <w:i/>
        </w:rPr>
        <w:t>Итоги голосования:</w:t>
      </w:r>
    </w:p>
    <w:p>
      <w:pPr>
        <w:pStyle w:val="Normal"/>
        <w:jc w:val="both"/>
        <w:rPr>
          <w:color w:val="000000"/>
        </w:rPr>
      </w:pPr>
      <w:r>
        <w:rPr/>
        <w:t>За – 6 голоса (-ов)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Против – 0 голоса (-ов)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rFonts w:eastAsia="Calibri"/>
        </w:rPr>
      </w:pPr>
      <w:r>
        <w:rPr/>
        <w:t>Воздержался – 0 голоса (-ов)</w:t>
      </w:r>
      <w:r>
        <w:rPr>
          <w:rFonts w:eastAsia="Calibri"/>
        </w:rPr>
        <w:t>.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rFonts w:eastAsia="Calibri"/>
        </w:rPr>
      </w:pPr>
      <w:r>
        <w:rPr>
          <w:rFonts w:eastAsia="Calibri"/>
        </w:rPr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284" w:leader="none"/>
          <w:tab w:val="left" w:pos="567" w:leader="none"/>
        </w:tabs>
        <w:ind w:hanging="3763" w:start="3763" w:end="0"/>
        <w:jc w:val="both"/>
        <w:rPr/>
      </w:pPr>
      <w:r>
        <w:rPr>
          <w:bCs/>
        </w:rPr>
        <w:t xml:space="preserve">Признать проведение </w:t>
      </w:r>
      <w:r>
        <w:rPr/>
        <w:t>процедуры переторжки несостоявшейся</w:t>
      </w:r>
      <w:r>
        <w:rPr>
          <w:bCs/>
        </w:rPr>
        <w:t>.</w:t>
      </w:r>
    </w:p>
    <w:p>
      <w:pPr>
        <w:pStyle w:val="Style22"/>
        <w:tabs>
          <w:tab w:val="clear" w:pos="709"/>
          <w:tab w:val="left" w:pos="426" w:leader="none"/>
          <w:tab w:val="left" w:pos="567" w:leader="none"/>
        </w:tabs>
        <w:ind w:start="0" w:end="0"/>
        <w:jc w:val="both"/>
        <w:rPr>
          <w:b/>
          <w:i/>
          <w:i/>
        </w:rPr>
      </w:pPr>
      <w:r>
        <w:rPr>
          <w:b/>
          <w:i/>
        </w:rPr>
        <w:t>Итоги голосования:</w:t>
      </w:r>
    </w:p>
    <w:p>
      <w:pPr>
        <w:pStyle w:val="Normal"/>
        <w:jc w:val="both"/>
        <w:rPr>
          <w:color w:val="000000"/>
        </w:rPr>
      </w:pPr>
      <w:r>
        <w:rPr/>
        <w:t>За – 6 голоса (-ов)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Против – 0 голоса (-ов)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rFonts w:eastAsia="Calibri"/>
        </w:rPr>
      </w:pPr>
      <w:r>
        <w:rPr/>
        <w:t>Воздержался – 0 голоса (-ов)</w:t>
      </w:r>
      <w:r>
        <w:rPr>
          <w:rFonts w:eastAsia="Calibri"/>
        </w:rPr>
        <w:t>.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rFonts w:eastAsia="Calibri"/>
        </w:rPr>
      </w:pPr>
      <w:r>
        <w:rPr>
          <w:rFonts w:eastAsia="Calibri"/>
        </w:rPr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>
          <w:bCs/>
          <w:color w:val="000000"/>
        </w:rPr>
        <w:t>3.</w:t>
      </w:r>
      <w:r>
        <w:rPr>
          <w:bCs/>
          <w:iCs/>
        </w:rPr>
        <w:t xml:space="preserve"> Принять к сведению мнение эксперта.</w:t>
      </w:r>
    </w:p>
    <w:p>
      <w:pPr>
        <w:pStyle w:val="Normal"/>
        <w:tabs>
          <w:tab w:val="clear" w:pos="709"/>
          <w:tab w:val="left" w:pos="142" w:leader="none"/>
          <w:tab w:val="left" w:pos="426" w:leader="none"/>
        </w:tabs>
        <w:jc w:val="both"/>
        <w:rPr>
          <w:b/>
          <w:i/>
          <w:i/>
          <w:color w:val="FF0000"/>
        </w:rPr>
      </w:pPr>
      <w:r>
        <w:rPr>
          <w:b/>
          <w:i/>
          <w:color w:val="000000"/>
        </w:rPr>
        <w:t>Итоги голосования:</w:t>
      </w:r>
    </w:p>
    <w:p>
      <w:pPr>
        <w:pStyle w:val="Normal"/>
        <w:jc w:val="both"/>
        <w:rPr>
          <w:color w:val="000000"/>
        </w:rPr>
      </w:pPr>
      <w:r>
        <w:rPr/>
        <w:t xml:space="preserve">За – </w:t>
      </w:r>
      <w:r>
        <w:rPr>
          <w:lang w:val="en-US"/>
        </w:rPr>
        <w:t>6</w:t>
      </w:r>
      <w:r>
        <w:rPr/>
        <w:t xml:space="preserve"> голоса (-ов)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Против – 0 голоса (-ов)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rFonts w:eastAsia="Calibri"/>
        </w:rPr>
      </w:pPr>
      <w:r>
        <w:rPr/>
        <w:t>Воздержался – 0 голоса (-ов)</w:t>
      </w:r>
      <w:r>
        <w:rPr>
          <w:rFonts w:eastAsia="Calibri"/>
        </w:rPr>
        <w:t>.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rFonts w:eastAsia="Calibri"/>
        </w:rPr>
      </w:pPr>
      <w:r>
        <w:rPr>
          <w:rFonts w:eastAsia="Calibri"/>
        </w:rPr>
      </w:r>
    </w:p>
    <w:p>
      <w:pPr>
        <w:pStyle w:val="Normal"/>
        <w:jc w:val="both"/>
        <w:rPr/>
      </w:pPr>
      <w:r>
        <w:rPr/>
        <w:t>4. Признать заявку ООО «АРТСТРОЙСЕРВИС-18» соответствующей условиям запроса предложений в электронной форме по результатам рассмотрения ценового предложения заявки.</w:t>
      </w:r>
    </w:p>
    <w:tbl>
      <w:tblPr>
        <w:tblW w:w="49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9"/>
        <w:gridCol w:w="1785"/>
        <w:gridCol w:w="1960"/>
        <w:gridCol w:w="1918"/>
        <w:gridCol w:w="1439"/>
      </w:tblGrid>
      <w:tr>
        <w:trPr>
          <w:tblHeader w:val="true"/>
          <w:trHeight w:val="501" w:hRule="atLeast"/>
          <w:cantSplit w:val="true"/>
        </w:trPr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426" w:leader="none"/>
              </w:tabs>
              <w:jc w:val="center"/>
              <w:rPr>
                <w:bCs/>
              </w:rPr>
            </w:pPr>
            <w:r>
              <w:rPr>
                <w:bCs/>
              </w:rPr>
              <w:t>Наименование участника</w:t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426" w:leader="none"/>
              </w:tabs>
              <w:jc w:val="center"/>
              <w:rPr>
                <w:bCs/>
              </w:rPr>
            </w:pPr>
            <w:r>
              <w:rPr>
                <w:bCs/>
              </w:rPr>
              <w:t>Ценовое предложение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Cs/>
              </w:rPr>
            </w:pPr>
            <w:r>
              <w:rPr>
                <w:bCs/>
              </w:rPr>
              <w:t>Предложение о цене договора, поданное в ходе переторжки</w:t>
            </w:r>
          </w:p>
        </w:tc>
        <w:tc>
          <w:tcPr>
            <w:tcW w:w="1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426" w:leader="none"/>
              </w:tabs>
              <w:jc w:val="center"/>
              <w:rPr>
                <w:bCs/>
              </w:rPr>
            </w:pPr>
            <w:r>
              <w:rPr>
                <w:bCs/>
              </w:rPr>
              <w:t>Принятое решение</w:t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426" w:leader="none"/>
              </w:tabs>
              <w:jc w:val="center"/>
              <w:rPr>
                <w:bCs/>
              </w:rPr>
            </w:pPr>
            <w:r>
              <w:rPr>
                <w:bCs/>
              </w:rPr>
              <w:t>Основание для отклонения заявки</w:t>
            </w:r>
          </w:p>
        </w:tc>
      </w:tr>
      <w:tr>
        <w:trPr>
          <w:trHeight w:val="494" w:hRule="atLeast"/>
          <w:cantSplit w:val="true"/>
        </w:trPr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«АРТСТРОЙСЕРВИС-18»</w:t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9 492 000, 00</w:t>
            </w:r>
          </w:p>
          <w:p>
            <w:pPr>
              <w:pStyle w:val="Normal"/>
              <w:jc w:val="center"/>
              <w:rPr/>
            </w:pPr>
            <w:r>
              <w:rPr/>
              <w:t>руб. с НДС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Не принял участие</w:t>
            </w:r>
          </w:p>
        </w:tc>
        <w:tc>
          <w:tcPr>
            <w:tcW w:w="1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left" w:pos="426" w:leader="none"/>
              </w:tabs>
              <w:jc w:val="center"/>
              <w:rPr/>
            </w:pPr>
            <w:r>
              <w:rPr/>
              <w:t>Соответствует, допустить</w:t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left" w:pos="426" w:leader="none"/>
              </w:tabs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</w:tc>
      </w:tr>
    </w:tbl>
    <w:p>
      <w:pPr>
        <w:pStyle w:val="Normal"/>
        <w:keepNext w:val="true"/>
        <w:jc w:val="both"/>
        <w:rPr>
          <w:b/>
          <w:i/>
          <w:i/>
        </w:rPr>
      </w:pPr>
      <w:r>
        <w:rPr>
          <w:b/>
          <w:i/>
        </w:rPr>
        <w:t>Итоги голосования:</w:t>
      </w:r>
    </w:p>
    <w:p>
      <w:pPr>
        <w:pStyle w:val="Normal"/>
        <w:jc w:val="both"/>
        <w:rPr>
          <w:color w:val="000000"/>
        </w:rPr>
      </w:pPr>
      <w:r>
        <w:rPr/>
        <w:t>За – 6 голоса (-ов)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Против – 0 голоса (-ов)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rFonts w:eastAsia="Calibri"/>
        </w:rPr>
      </w:pPr>
      <w:r>
        <w:rPr/>
        <w:t>Воздержался – 0 голоса (-ов)</w:t>
      </w:r>
      <w:r>
        <w:rPr>
          <w:rFonts w:eastAsia="Calibri"/>
        </w:rPr>
        <w:t>.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rFonts w:eastAsia="Calibri"/>
        </w:rPr>
      </w:pPr>
      <w:r>
        <w:rPr>
          <w:rFonts w:eastAsia="Calibri"/>
        </w:rPr>
      </w:r>
    </w:p>
    <w:p>
      <w:pPr>
        <w:pStyle w:val="Normal"/>
        <w:jc w:val="both"/>
        <w:rPr/>
      </w:pPr>
      <w:r>
        <w:rPr/>
        <w:t xml:space="preserve">5. </w:t>
      </w:r>
      <w:r>
        <w:rPr>
          <w:color w:val="000000"/>
        </w:rPr>
        <w:t xml:space="preserve">Руководствуясь п. 7.5.1 «в» Единого стандарта закупок ПАО «Россети», признать запрос предложений </w:t>
      </w:r>
      <w:r>
        <w:rPr>
          <w:bCs/>
          <w:color w:val="000000"/>
        </w:rPr>
        <w:t xml:space="preserve">в электронной форме несостоявшимся. В соответствии с п.7.5.3 Единого стандарта закупок ПАО «Россети» согласовать </w:t>
      </w:r>
      <w:r>
        <w:rPr/>
        <w:t>заключение договора на поставку быстровозводимого модульного здания для филиала АО «Россети Кубань» Сочинские электрические сети с ООО «АРТСТРОЙСЕРВИС-18», как</w:t>
      </w:r>
      <w:r>
        <w:rPr>
          <w:bCs/>
          <w:color w:val="000000"/>
        </w:rPr>
        <w:t xml:space="preserve"> с единственным допущенным участником, на условиях извещения, документации о закупке и заявки</w:t>
      </w:r>
      <w:r>
        <w:rPr/>
        <w:t>.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b/>
          <w:i/>
          <w:i/>
        </w:rPr>
      </w:pPr>
      <w:r>
        <w:rPr>
          <w:b/>
          <w:i/>
        </w:rPr>
        <w:t>Итоги голосования:</w:t>
      </w:r>
    </w:p>
    <w:p>
      <w:pPr>
        <w:pStyle w:val="Normal"/>
        <w:jc w:val="both"/>
        <w:rPr/>
      </w:pPr>
      <w:r>
        <w:rPr/>
        <w:t>За – 6 голоса (-ов)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Против – 0 голоса (-ов)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rFonts w:eastAsia="Calibri"/>
        </w:rPr>
      </w:pPr>
      <w:r>
        <w:rPr/>
        <w:t>Воздержался – 0 голоса (-ов)</w:t>
      </w:r>
      <w:r>
        <w:rPr>
          <w:rFonts w:eastAsia="Calibri"/>
        </w:rPr>
        <w:t>.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b/>
          <w:i/>
          <w:i/>
        </w:rPr>
      </w:pPr>
      <w:r>
        <w:rPr>
          <w:b/>
          <w:i/>
        </w:rPr>
        <w:t>Решение по вопросу принято.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426" w:leader="none"/>
        </w:tabs>
        <w:jc w:val="both"/>
        <w:outlineLvl w:val="1"/>
        <w:rPr/>
      </w:pPr>
      <w:r>
        <w:rPr/>
        <w:tab/>
        <w:t>Договор по результатам закупки, заключить в течение срока, установленного нормами Единого стандарта закупок ПАО «Россети» (Положение о закупке). При необходимости одобрения Общего собрания акционеров/Совета директоров/Правления ПАО «Россети Юг»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постоянно действующей закупочной комиссии, оператора электронной площадки договор должен быть заключен после принятия соответствующего решения (одобрения, вынесения решения по жалобе, иску). Разместить договор в Единой информационной системе в сфере закупок в течение трех рабочих дней со дня заключения.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</w:r>
    </w:p>
    <w:tbl>
      <w:tblPr>
        <w:tblW w:w="4250" w:type="pct"/>
        <w:jc w:val="start"/>
        <w:tblInd w:w="-30" w:type="dxa"/>
        <w:tblLayout w:type="fixed"/>
        <w:tblCellMar>
          <w:top w:w="30" w:type="dxa"/>
          <w:start w:w="30" w:type="dxa"/>
          <w:bottom w:w="30" w:type="dxa"/>
          <w:end w:w="30" w:type="dxa"/>
        </w:tblCellMar>
      </w:tblPr>
      <w:tblGrid>
        <w:gridCol w:w="5645"/>
        <w:gridCol w:w="3030"/>
      </w:tblGrid>
      <w:tr>
        <w:trPr>
          <w:trHeight w:val="427" w:hRule="atLeast"/>
        </w:trPr>
        <w:tc>
          <w:tcPr>
            <w:tcW w:w="5645" w:type="dxa"/>
            <w:tcBorders/>
            <w:vAlign w:val="center"/>
          </w:tcPr>
          <w:p>
            <w:pPr>
              <w:pStyle w:val="Normal"/>
              <w:jc w:val="both"/>
              <w:rPr/>
            </w:pPr>
            <w:r>
              <w:rPr/>
              <w:t xml:space="preserve">Председатель ПДЗК: </w:t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Cs/>
              </w:rPr>
              <w:t>В.А. Коржаневский</w:t>
            </w:r>
          </w:p>
        </w:tc>
        <w:tc>
          <w:tcPr>
            <w:tcW w:w="303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both"/>
              <w:rPr>
                <w:bCs/>
              </w:rPr>
            </w:pPr>
            <w:r>
              <w:rPr>
                <w:bCs/>
              </w:rPr>
            </w:r>
          </w:p>
        </w:tc>
      </w:tr>
      <w:tr>
        <w:trPr>
          <w:trHeight w:val="224" w:hRule="atLeast"/>
        </w:trPr>
        <w:tc>
          <w:tcPr>
            <w:tcW w:w="5645" w:type="dxa"/>
            <w:tcBorders/>
            <w:vAlign w:val="center"/>
          </w:tcPr>
          <w:p>
            <w:pPr>
              <w:pStyle w:val="Normal"/>
              <w:jc w:val="both"/>
              <w:rPr/>
            </w:pPr>
            <w:r>
              <w:rPr/>
              <w:t xml:space="preserve">Ответственный секретарь ПДЗК (без права голоса): </w:t>
            </w:r>
          </w:p>
          <w:p>
            <w:pPr>
              <w:pStyle w:val="Normal"/>
              <w:jc w:val="both"/>
              <w:rPr/>
            </w:pPr>
            <w:r>
              <w:rPr/>
              <w:t>А.Н. Гостева</w:t>
            </w:r>
          </w:p>
        </w:tc>
        <w:tc>
          <w:tcPr>
            <w:tcW w:w="303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Н.П. Бородинова, (861)212-26-61</w:t>
      </w:r>
    </w:p>
    <w:sectPr>
      <w:footerReference w:type="default" r:id="rId3"/>
      <w:type w:val="nextPage"/>
      <w:pgSz w:w="11906" w:h="16838"/>
      <w:pgMar w:left="993" w:right="707" w:gutter="0" w:header="0" w:top="568" w:footer="397" w:bottom="567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Arial Unicode MS">
    <w:charset w:val="00" w:characterSet="windows-1252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ind w:end="-2"/>
      <w:jc w:val="center"/>
      <w:rPr>
        <w:bCs/>
        <w:i/>
        <w:i/>
        <w:iCs/>
        <w:sz w:val="18"/>
        <w:szCs w:val="18"/>
      </w:rPr>
    </w:pPr>
    <w:r>
      <w:rPr>
        <w:bCs/>
        <w:i/>
        <w:sz w:val="18"/>
        <w:szCs w:val="18"/>
      </w:rPr>
      <w:t xml:space="preserve">ПРОТОКОЛ ЗАСЕДАНИЯ ПОСТОЯННО ДЕЙСТВУЮЩЕЙ ЗАКУПОЧНОЙ КОМИССИИ № </w:t>
    </w:r>
    <w:r>
      <w:rPr>
        <w:i/>
        <w:sz w:val="18"/>
        <w:szCs w:val="18"/>
      </w:rPr>
      <w:t>32515379825</w:t>
    </w:r>
    <w:r>
      <w:rPr>
        <w:bCs/>
        <w:i/>
        <w:sz w:val="18"/>
        <w:szCs w:val="18"/>
      </w:rPr>
      <w:t>/2</w:t>
    </w:r>
  </w:p>
  <w:p>
    <w:pPr>
      <w:pStyle w:val="Normal"/>
      <w:jc w:val="end"/>
      <w:rPr/>
    </w:pPr>
    <w:r>
      <w:rPr>
        <w:i/>
        <w:sz w:val="18"/>
        <w:szCs w:val="18"/>
      </w:rPr>
      <w:t xml:space="preserve">Страница </w:t>
    </w:r>
    <w:r>
      <w:rPr>
        <w:i/>
        <w:sz w:val="18"/>
        <w:szCs w:val="18"/>
      </w:rPr>
      <w:fldChar w:fldCharType="begin"/>
    </w:r>
    <w:r>
      <w:rPr>
        <w:sz w:val="18"/>
        <w:i/>
        <w:szCs w:val="18"/>
      </w:rPr>
      <w:instrText xml:space="preserve"> PAGE </w:instrText>
    </w:r>
    <w:r>
      <w:rPr>
        <w:sz w:val="18"/>
        <w:i/>
        <w:szCs w:val="18"/>
      </w:rPr>
      <w:fldChar w:fldCharType="separate"/>
    </w:r>
    <w:r>
      <w:rPr>
        <w:sz w:val="18"/>
        <w:i/>
        <w:szCs w:val="18"/>
      </w:rPr>
      <w:t>3</w:t>
    </w:r>
    <w:r>
      <w:rPr>
        <w:sz w:val="18"/>
        <w:i/>
        <w:szCs w:val="18"/>
      </w:rPr>
      <w:fldChar w:fldCharType="end"/>
    </w:r>
    <w:r>
      <w:rPr>
        <w:i/>
        <w:sz w:val="18"/>
        <w:szCs w:val="18"/>
      </w:rPr>
      <w:t xml:space="preserve"> из 3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  <w:b w:val="fals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3763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verflowPunct w:val="false"/>
      <w:autoSpaceDE w:val="false"/>
      <w:jc w:val="center"/>
      <w:textAlignment w:val="baseline"/>
      <w:outlineLvl w:val="0"/>
    </w:pPr>
    <w:rPr>
      <w:rFonts w:ascii="Times New Roman" w:hAnsi="Times New Roman" w:cs="Times New Roman"/>
      <w:szCs w:val="1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verflowPunct w:val="false"/>
      <w:autoSpaceDE w:val="false"/>
      <w:jc w:val="center"/>
      <w:textAlignment w:val="baseline"/>
      <w:outlineLvl w:val="1"/>
    </w:pPr>
    <w:rPr>
      <w:rFonts w:ascii="Times New Roman" w:hAnsi="Times New Roman" w:cs="Times New Roman"/>
      <w:b/>
      <w:bCs/>
      <w:sz w:val="28"/>
      <w:szCs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verflowPunct w:val="false"/>
      <w:autoSpaceDE w:val="false"/>
      <w:ind w:hanging="0" w:start="-136" w:end="-52"/>
      <w:jc w:val="center"/>
      <w:textAlignment w:val="baseline"/>
      <w:outlineLvl w:val="2"/>
    </w:pPr>
    <w:rPr>
      <w:rFonts w:ascii="Times New Roman" w:hAnsi="Times New Roman" w:cs="Times New Roman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08" w:start="352" w:end="0"/>
      <w:jc w:val="both"/>
      <w:outlineLvl w:val="3"/>
    </w:pPr>
    <w:rPr>
      <w:b/>
      <w:bCs/>
      <w:sz w:val="3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bCs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auto" w:line="360"/>
      <w:outlineLvl w:val="5"/>
    </w:pPr>
    <w:rPr>
      <w:szCs w:val="20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4914" w:start="0" w:end="0"/>
      <w:outlineLvl w:val="7"/>
    </w:pPr>
    <w:rPr>
      <w:b/>
      <w:bCs/>
      <w:sz w:val="28"/>
      <w:szCs w:val="20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  <w:b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b w:val="false"/>
      <w:u w:val="none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>
      <w:rFonts w:ascii="Times New Roman" w:hAnsi="Times New Roman" w:eastAsia="Times New Roman" w:cs="Times New Roman"/>
    </w:rPr>
  </w:style>
  <w:style w:type="character" w:styleId="WW8Num8z0">
    <w:name w:val="WW8Num8z0"/>
    <w:qFormat/>
    <w:rPr>
      <w:rFonts w:ascii="Symbol" w:hAnsi="Symbol" w:cs="Symbol"/>
      <w:color w:val="000000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Style5"/>
    <w:rPr/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Верхний колонтитул Знак"/>
    <w:qFormat/>
    <w:rPr>
      <w:lang w:val="ru-RU" w:bidi="ar-SA"/>
    </w:rPr>
  </w:style>
  <w:style w:type="character" w:styleId="2">
    <w:name w:val=" Знак Знак2"/>
    <w:qFormat/>
    <w:rPr>
      <w:lang w:val="ru-RU" w:bidi="ar-SA"/>
    </w:rPr>
  </w:style>
  <w:style w:type="character" w:styleId="Style7">
    <w:name w:val="Основной текст с отступом Знак"/>
    <w:qFormat/>
    <w:rPr>
      <w:sz w:val="24"/>
    </w:rPr>
  </w:style>
  <w:style w:type="character" w:styleId="3">
    <w:name w:val="Основной текст 3 Знак"/>
    <w:qFormat/>
    <w:rPr>
      <w:sz w:val="26"/>
    </w:rPr>
  </w:style>
  <w:style w:type="character" w:styleId="21">
    <w:name w:val="Основной текст с отступом 2 Знак"/>
    <w:qFormat/>
    <w:rPr>
      <w:sz w:val="24"/>
      <w:szCs w:val="24"/>
    </w:rPr>
  </w:style>
  <w:style w:type="character" w:styleId="Style8">
    <w:name w:val="Текст Знак"/>
    <w:qFormat/>
    <w:rPr>
      <w:rFonts w:ascii="Calibri" w:hAnsi="Calibri" w:eastAsia="Calibri" w:cs="Calibri"/>
      <w:sz w:val="22"/>
      <w:szCs w:val="21"/>
      <w:lang w:val="en-US"/>
    </w:rPr>
  </w:style>
  <w:style w:type="character" w:styleId="notice-number3">
    <w:name w:val="notice-number3"/>
    <w:qFormat/>
    <w:rPr/>
  </w:style>
  <w:style w:type="character" w:styleId="Style9">
    <w:name w:val="Абзац списка Знак"/>
    <w:qFormat/>
    <w:rPr>
      <w:sz w:val="24"/>
      <w:szCs w:val="24"/>
    </w:rPr>
  </w:style>
  <w:style w:type="character" w:styleId="defaultlabelstyle3">
    <w:name w:val="defaultlabelstyle3"/>
    <w:qFormat/>
    <w:rPr>
      <w:rFonts w:ascii="Verdana" w:hAnsi="Verdana" w:cs="Verdana"/>
      <w:b w:val="false"/>
      <w:bCs w:val="false"/>
      <w:color w:val="333333"/>
    </w:rPr>
  </w:style>
  <w:style w:type="character" w:styleId="1">
    <w:name w:val="Основной текст Знак1"/>
    <w:qFormat/>
    <w:rPr>
      <w:rFonts w:ascii="Times New Roman" w:hAnsi="Times New Roman" w:cs="Times New Roman"/>
      <w:sz w:val="23"/>
      <w:szCs w:val="23"/>
      <w:shd w:fill="FFFFFF" w:val="clear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2"/>
      <w:szCs w:val="20"/>
    </w:rPr>
  </w:style>
  <w:style w:type="paragraph" w:styleId="BodyText">
    <w:name w:val="Body Text"/>
    <w:basedOn w:val="Normal"/>
    <w:pPr/>
    <w:rPr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1">
    <w:name w:val=" Знак Знак Знак1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xl34">
    <w:name w:val="xl34"/>
    <w:basedOn w:val="Normal"/>
    <w:qFormat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ascii="Arial Unicode MS" w:hAnsi="Arial Unicode MS" w:eastAsia="Arial Unicode MS" w:cs="Arial Unicode MS"/>
    </w:rPr>
  </w:style>
  <w:style w:type="paragraph" w:styleId="31">
    <w:name w:val="Основной текст 3"/>
    <w:basedOn w:val="Normal"/>
    <w:qFormat/>
    <w:pPr>
      <w:jc w:val="both"/>
    </w:pPr>
    <w:rPr>
      <w:sz w:val="26"/>
      <w:szCs w:val="20"/>
      <w:lang w:val="en-US"/>
    </w:rPr>
  </w:style>
  <w:style w:type="paragraph" w:styleId="BodyTextIndent">
    <w:name w:val="Body Text Indent"/>
    <w:basedOn w:val="Normal"/>
    <w:pPr>
      <w:ind w:hanging="0" w:start="567" w:end="0"/>
      <w:jc w:val="both"/>
    </w:pPr>
    <w:rPr>
      <w:szCs w:val="20"/>
      <w:lang w:val="en-US"/>
    </w:rPr>
  </w:style>
  <w:style w:type="paragraph" w:styleId="xl27">
    <w:name w:val="xl2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eastAsia="Arial Unicode MS"/>
      <w:b/>
      <w:bCs/>
    </w:rPr>
  </w:style>
  <w:style w:type="paragraph" w:styleId="Normal1">
    <w:name w:val="Normal1"/>
    <w:qFormat/>
    <w:pPr>
      <w:widowControl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  <w:overflowPunct w:val="false"/>
      <w:autoSpaceDE w:val="false"/>
      <w:textAlignment w:val="baselin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22">
    <w:name w:val="Основной текст 2"/>
    <w:basedOn w:val="Normal"/>
    <w:qFormat/>
    <w:pPr>
      <w:jc w:val="center"/>
    </w:pPr>
    <w:rPr/>
  </w:style>
  <w:style w:type="paragraph" w:styleId="Style10">
    <w:name w:val="Цитата"/>
    <w:basedOn w:val="Normal"/>
    <w:qFormat/>
    <w:pPr>
      <w:ind w:hanging="0" w:start="360" w:end="141"/>
    </w:pPr>
    <w:rPr/>
  </w:style>
  <w:style w:type="paragraph" w:styleId="23">
    <w:name w:val="Основной текст с отступом 2"/>
    <w:basedOn w:val="Normal"/>
    <w:qFormat/>
    <w:pPr>
      <w:ind w:hanging="0" w:start="912" w:end="0"/>
      <w:jc w:val="both"/>
    </w:pPr>
    <w:rPr>
      <w:lang w:val="en-US"/>
    </w:rPr>
  </w:style>
  <w:style w:type="paragraph" w:styleId="Style11">
    <w:name w:val="Нумерованный список"/>
    <w:basedOn w:val="Normal"/>
    <w:qFormat/>
    <w:pPr>
      <w:autoSpaceDE w:val="false"/>
      <w:spacing w:lineRule="auto" w:line="360" w:before="60" w:after="0"/>
      <w:jc w:val="both"/>
    </w:pPr>
    <w:rPr>
      <w:sz w:val="28"/>
      <w:szCs w:val="28"/>
    </w:rPr>
  </w:style>
  <w:style w:type="paragraph" w:styleId="Style12">
    <w:name w:val="Текст выноски"/>
    <w:basedOn w:val="Normal"/>
    <w:qFormat/>
    <w:pPr>
      <w:overflowPunct w:val="false"/>
      <w:autoSpaceDE w:val="false"/>
      <w:textAlignment w:val="baseline"/>
    </w:pPr>
    <w:rPr>
      <w:rFonts w:ascii="Tahoma" w:hAnsi="Tahoma" w:cs="Tahoma"/>
      <w:sz w:val="16"/>
      <w:szCs w:val="16"/>
    </w:rPr>
  </w:style>
  <w:style w:type="paragraph" w:styleId="32">
    <w:name w:val="Основной текст с отступом 3"/>
    <w:basedOn w:val="Normal"/>
    <w:qFormat/>
    <w:pPr>
      <w:overflowPunct w:val="false"/>
      <w:autoSpaceDE w:val="false"/>
      <w:ind w:firstLine="426" w:start="0" w:end="-1"/>
      <w:jc w:val="both"/>
    </w:pPr>
    <w:rPr>
      <w:szCs w:val="20"/>
    </w:rPr>
  </w:style>
  <w:style w:type="paragraph" w:styleId="Style13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DefaultParagraphFontParaCharChar">
    <w:name w:val="Default Paragraph Font Para Char Char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14">
    <w:name w:val="Текст примечания"/>
    <w:basedOn w:val="Normal"/>
    <w:qFormat/>
    <w:pPr/>
    <w:rPr>
      <w:sz w:val="20"/>
      <w:szCs w:val="20"/>
    </w:rPr>
  </w:style>
  <w:style w:type="paragraph" w:styleId="normal2">
    <w:name w:val="normal2"/>
    <w:basedOn w:val="Normal"/>
    <w:qFormat/>
    <w:pPr>
      <w:snapToGrid w:val="false"/>
      <w:spacing w:before="100" w:after="100"/>
    </w:pPr>
    <w:rPr/>
  </w:style>
  <w:style w:type="paragraph" w:styleId="a">
    <w:name w:val="a"/>
    <w:basedOn w:val="Normal"/>
    <w:qFormat/>
    <w:pPr>
      <w:ind w:firstLine="720" w:start="0" w:end="0"/>
      <w:jc w:val="both"/>
    </w:pPr>
    <w:rPr/>
  </w:style>
  <w:style w:type="paragraph" w:styleId="Style15">
    <w:name w:val="Пункт"/>
    <w:basedOn w:val="Normal"/>
    <w:qFormat/>
    <w:pPr>
      <w:spacing w:lineRule="auto" w:line="360"/>
      <w:jc w:val="both"/>
    </w:pPr>
    <w:rPr>
      <w:sz w:val="28"/>
      <w:szCs w:val="20"/>
    </w:rPr>
  </w:style>
  <w:style w:type="paragraph" w:styleId="Style16">
    <w:name w:val="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TOC5">
    <w:name w:val="toc 5"/>
    <w:basedOn w:val="Normal"/>
    <w:next w:val="Normal"/>
    <w:pPr>
      <w:widowControl w:val="false"/>
      <w:autoSpaceDE w:val="false"/>
      <w:ind w:hanging="0" w:start="800" w:end="0"/>
    </w:pPr>
    <w:rPr>
      <w:rFonts w:ascii="Arial" w:hAnsi="Arial" w:cs="Arial"/>
      <w:sz w:val="20"/>
      <w:szCs w:val="20"/>
    </w:rPr>
  </w:style>
  <w:style w:type="paragraph" w:styleId="12">
    <w:name w:val="1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FR1">
    <w:name w:val="FR1"/>
    <w:qFormat/>
    <w:pPr>
      <w:widowControl w:val="false"/>
      <w:bidi w:val="0"/>
      <w:spacing w:lineRule="auto" w:line="300" w:before="160" w:after="0"/>
      <w:jc w:val="center"/>
    </w:pPr>
    <w:rPr>
      <w:rFonts w:ascii="Arial" w:hAnsi="Arial" w:eastAsia="Times New Roman" w:cs="Arial"/>
      <w:color w:val="auto"/>
      <w:sz w:val="16"/>
      <w:szCs w:val="20"/>
      <w:lang w:val="ru-RU" w:bidi="ar-SA" w:eastAsia="zh-CN"/>
    </w:rPr>
  </w:style>
  <w:style w:type="paragraph" w:styleId="13">
    <w:name w:val="Знак Знак Знак1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ubtitle">
    <w:name w:val="Subtitle"/>
    <w:basedOn w:val="Normal"/>
    <w:next w:val="BodyText"/>
    <w:qFormat/>
    <w:pPr/>
    <w:rPr>
      <w:sz w:val="36"/>
    </w:rPr>
  </w:style>
  <w:style w:type="paragraph" w:styleId="Style17">
    <w:name w:val="Маркированный список"/>
    <w:basedOn w:val="Normal"/>
    <w:qFormat/>
    <w:pPr>
      <w:numPr>
        <w:ilvl w:val="0"/>
        <w:numId w:val="5"/>
      </w:numPr>
      <w:tabs>
        <w:tab w:val="clear" w:pos="709"/>
        <w:tab w:val="left" w:pos="1069" w:leader="none"/>
      </w:tabs>
      <w:spacing w:lineRule="auto" w:line="360"/>
      <w:ind w:hanging="0" w:start="1069" w:end="567"/>
    </w:pPr>
    <w:rPr>
      <w:szCs w:val="20"/>
    </w:rPr>
  </w:style>
  <w:style w:type="paragraph" w:styleId="xl83">
    <w:name w:val="xl83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eastAsia="Arial Unicode MS"/>
      <w:b/>
      <w:bCs/>
      <w:lang w:val="en-US"/>
    </w:rPr>
  </w:style>
  <w:style w:type="paragraph" w:styleId="Style18">
    <w:name w:val="Подпункт"/>
    <w:basedOn w:val="Style15"/>
    <w:qFormat/>
    <w:pPr>
      <w:numPr>
        <w:ilvl w:val="0"/>
        <w:numId w:val="0"/>
      </w:numPr>
      <w:tabs>
        <w:tab w:val="clear" w:pos="709"/>
        <w:tab w:val="left" w:pos="1276" w:leader="none"/>
      </w:tabs>
      <w:ind w:hanging="1134" w:start="1276" w:end="0"/>
    </w:pPr>
    <w:rPr>
      <w:szCs w:val="28"/>
    </w:rPr>
  </w:style>
  <w:style w:type="paragraph" w:styleId="Style19">
    <w:name w:val="Подподпункт"/>
    <w:basedOn w:val="Style18"/>
    <w:qFormat/>
    <w:pPr>
      <w:tabs>
        <w:tab w:val="clear" w:pos="1276"/>
        <w:tab w:val="left" w:pos="1843" w:leader="none"/>
      </w:tabs>
      <w:ind w:hanging="567" w:start="1843" w:end="0"/>
    </w:pPr>
    <w:rPr/>
  </w:style>
  <w:style w:type="paragraph" w:styleId="Style20">
    <w:name w:val="Название объекта"/>
    <w:basedOn w:val="Normal"/>
    <w:next w:val="Normal"/>
    <w:qFormat/>
    <w:pPr/>
    <w:rPr>
      <w:b/>
      <w:bCs/>
      <w:sz w:val="20"/>
      <w:szCs w:val="20"/>
    </w:rPr>
  </w:style>
  <w:style w:type="paragraph" w:styleId="14">
    <w:name w:val=" Знак1 Знак Знак Знак Знак Знак Знак"/>
    <w:basedOn w:val="Normal"/>
    <w:qFormat/>
    <w:pPr>
      <w:tabs>
        <w:tab w:val="clear" w:pos="709"/>
        <w:tab w:val="left" w:pos="1069" w:leader="none"/>
      </w:tabs>
      <w:spacing w:lineRule="exact" w:line="240" w:before="0" w:after="160"/>
      <w:ind w:hanging="360" w:start="1069" w:end="0"/>
      <w:jc w:val="both"/>
    </w:pPr>
    <w:rPr>
      <w:rFonts w:ascii="Verdana" w:hAnsi="Verdana" w:cs="Arial"/>
      <w:sz w:val="20"/>
      <w:szCs w:val="20"/>
      <w:lang w:val="en-US"/>
    </w:rPr>
  </w:style>
  <w:style w:type="paragraph" w:styleId="24">
    <w:name w:val=" Знак2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Times12">
    <w:name w:val="Times 12"/>
    <w:basedOn w:val="Normal"/>
    <w:qFormat/>
    <w:pPr>
      <w:overflowPunct w:val="false"/>
      <w:autoSpaceDE w:val="false"/>
      <w:ind w:firstLine="567" w:start="0" w:end="0"/>
      <w:jc w:val="both"/>
    </w:pPr>
    <w:rPr>
      <w:szCs w:val="20"/>
    </w:rPr>
  </w:style>
  <w:style w:type="paragraph" w:styleId="Style21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25">
    <w:name w:val="Обычный2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2">
    <w:name w:val="Абзац списка"/>
    <w:basedOn w:val="Normal"/>
    <w:qFormat/>
    <w:pPr>
      <w:ind w:hanging="0" w:start="708" w:end="0"/>
    </w:pPr>
    <w:rPr>
      <w:lang w:val="en-US"/>
    </w:rPr>
  </w:style>
  <w:style w:type="paragraph" w:styleId="Style23">
    <w:name w:val="Таблица шапка"/>
    <w:basedOn w:val="Normal"/>
    <w:qFormat/>
    <w:pPr>
      <w:keepNext w:val="true"/>
      <w:snapToGrid w:val="false"/>
      <w:spacing w:before="40" w:after="40"/>
      <w:ind w:hanging="0" w:start="57" w:end="57"/>
    </w:pPr>
    <w:rPr>
      <w:sz w:val="22"/>
      <w:szCs w:val="20"/>
    </w:rPr>
  </w:style>
  <w:style w:type="paragraph" w:styleId="Style24">
    <w:name w:val="Текст"/>
    <w:basedOn w:val="Normal"/>
    <w:qFormat/>
    <w:pPr/>
    <w:rPr>
      <w:rFonts w:ascii="Calibri" w:hAnsi="Calibri" w:eastAsia="Calibri" w:cs="Calibri"/>
      <w:sz w:val="22"/>
      <w:szCs w:val="21"/>
      <w:lang w:val="en-US"/>
    </w:rPr>
  </w:style>
  <w:style w:type="paragraph" w:styleId="P-Style">
    <w:name w:val="P-Style"/>
    <w:basedOn w:val="Normal"/>
    <w:qFormat/>
    <w:pPr>
      <w:spacing w:lineRule="auto" w:line="276" w:before="0" w:after="95"/>
    </w:pPr>
    <w:rPr/>
  </w:style>
  <w:style w:type="paragraph" w:styleId="noprint">
    <w:name w:val="noprint"/>
    <w:basedOn w:val="Normal"/>
    <w:qFormat/>
    <w:pPr>
      <w:spacing w:before="280" w:after="28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2023-05-16T05:30:00Z</dcterms:created>
  <dc:creator>SvetlanaP</dc:creator>
  <dc:description/>
  <cp:keywords/>
  <dc:language>en-US</dc:language>
  <cp:lastModifiedBy>Бородинова Наталья Петровна</cp:lastModifiedBy>
  <cp:lastPrinted>2025-03-27T13:06:00Z</cp:lastPrinted>
  <dcterms:modified xsi:type="dcterms:W3CDTF">2025-12-15T08:11:00Z</dcterms:modified>
  <cp:revision>998</cp:revision>
  <dc:subject/>
  <dc:title>Российское акционерное общество</dc:title>
</cp:coreProperties>
</file>