
<file path=[Content_Types].xml><?xml version="1.0" encoding="utf-8"?>
<Types xmlns="http://schemas.openxmlformats.org/package/2006/content-types">
  <Default Extension="svg" ContentType="image/svg+xml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07"/>
        <w:jc w:val="center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column">
                  <wp:posOffset>-720089</wp:posOffset>
                </wp:positionH>
                <wp:positionV relativeFrom="paragraph">
                  <wp:posOffset>-549274</wp:posOffset>
                </wp:positionV>
                <wp:extent cx="7556500" cy="1616710"/>
                <wp:effectExtent l="0" t="0" r="0" b="0"/>
                <wp:wrapNone/>
                <wp:docPr id="1" name="_x0000_s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rcRect l="0" t="996" r="0" b="83865"/>
                        <a:stretch/>
                      </pic:blipFill>
                      <pic:spPr bwMode="auto">
                        <a:xfrm>
                          <a:off x="0" y="0"/>
                          <a:ext cx="7556500" cy="161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text;margin-left:-56.70pt;mso-position-horizontal:absolute;mso-position-vertical-relative:text;margin-top:-43.25pt;mso-position-vertical:absolute;width:595.00pt;height:127.30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rPr>
          <w:color w:val="365f91"/>
          <w:sz w:val="20"/>
          <w:szCs w:val="20"/>
        </w:rPr>
        <w:pBdr>
          <w:bottom w:val="single" w:color="000000" w:sz="24" w:space="0"/>
        </w:pBdr>
      </w:pP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  <w:r>
        <w:rPr>
          <w:color w:val="365f91"/>
          <w:sz w:val="20"/>
          <w:szCs w:val="20"/>
        </w:rPr>
      </w:r>
    </w:p>
    <w:p>
      <w:pPr>
        <w:pStyle w:val="907"/>
        <w:jc w:val="center"/>
        <w:tabs>
          <w:tab w:val="left" w:pos="4145" w:leader="none"/>
        </w:tabs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07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>
        <w:t xml:space="preserve">по вскрытию конвертов</w:t>
      </w:r>
      <w:r/>
    </w:p>
    <w:p>
      <w:pPr>
        <w:pStyle w:val="907"/>
        <w:jc w:val="center"/>
      </w:pPr>
      <w:r>
        <w:t xml:space="preserve">с </w:t>
      </w:r>
      <w:bookmarkEnd w:id="0"/>
      <w:r>
        <w:t xml:space="preserve">заявками</w:t>
      </w:r>
      <w:r>
        <w:t xml:space="preserve"> на участие в </w:t>
      </w:r>
      <w:r>
        <w:t xml:space="preserve">закупке</w:t>
      </w:r>
      <w:r/>
    </w:p>
    <w:p>
      <w:pPr>
        <w:pStyle w:val="907"/>
        <w:jc w:val="center"/>
      </w:pPr>
      <w:r/>
      <w:r/>
    </w:p>
    <w:p>
      <w:pPr>
        <w:pStyle w:val="907"/>
        <w:jc w:val="center"/>
        <w:rPr>
          <w:b/>
        </w:rPr>
      </w:pPr>
      <w:r>
        <w:rPr>
          <w:b/>
        </w:rPr>
        <w:t xml:space="preserve">г. Калининград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№ 221354</w:t>
            </w:r>
            <w:r>
              <w:t xml:space="preserve">-ПВК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запрос котировок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Государственные стандартные образцы для Калининградской ТЭЦ-2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«15</w:t>
            </w:r>
            <w:r>
              <w:t xml:space="preserve">»</w:t>
            </w:r>
            <w:r>
              <w:t xml:space="preserve"> декабря</w:t>
            </w:r>
            <w:r>
              <w:t xml:space="preserve"> </w:t>
            </w:r>
            <w:r>
              <w:t xml:space="preserve">20</w:t>
            </w:r>
            <w:r>
              <w:t xml:space="preserve">25 </w:t>
            </w:r>
            <w:r>
              <w:t xml:space="preserve">г. </w:t>
            </w:r>
            <w:r>
              <w:t xml:space="preserve">1</w:t>
            </w:r>
            <w:r>
              <w:t xml:space="preserve">1:</w:t>
            </w:r>
            <w:r>
              <w:t xml:space="preserve">00</w:t>
            </w:r>
            <w:r>
              <w:t xml:space="preserve"> (</w:t>
            </w:r>
            <w:r>
              <w:rPr>
                <w:i/>
                <w:sz w:val="22"/>
                <w:szCs w:val="22"/>
              </w:rPr>
              <w:t xml:space="preserve">по московскому времени)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«15</w:t>
            </w:r>
            <w:r>
              <w:t xml:space="preserve">»</w:t>
            </w:r>
            <w:r>
              <w:t xml:space="preserve"> декабря</w:t>
            </w:r>
            <w:r>
              <w:t xml:space="preserve"> </w:t>
            </w:r>
            <w:r>
              <w:t xml:space="preserve">20</w:t>
            </w:r>
            <w:r>
              <w:t xml:space="preserve">25 </w:t>
            </w:r>
            <w:r>
              <w:t xml:space="preserve">г.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2 455 373,74</w:t>
            </w:r>
            <w:r>
              <w:t xml:space="preserve"> </w:t>
            </w:r>
            <w:r>
              <w:t xml:space="preserve">руб без НДС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07"/>
              <w:spacing w:before="120"/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ind w:firstLine="709"/>
        <w:spacing w:before="120" w:after="120"/>
        <w:rPr>
          <w:b/>
          <w:bCs/>
        </w:rPr>
      </w:pPr>
      <w:r>
        <w:rPr>
          <w:b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907"/>
        <w:ind w:firstLine="709"/>
        <w:spacing w:before="120" w:after="120"/>
        <w:rPr>
          <w:b/>
          <w:bCs/>
          <w:highlight w:val="none"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  <w:t xml:space="preserve">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07"/>
        <w:ind w:firstLine="709"/>
        <w:spacing w:before="120" w:after="120"/>
        <w:rPr>
          <w:i/>
          <w:color w:val="548dd4"/>
        </w:rPr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i/>
          <w:color w:val="548dd4"/>
        </w:rPr>
      </w:r>
      <w:r>
        <w:rPr>
          <w:i/>
          <w:color w:val="548dd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07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07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07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07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</w:t>
            </w:r>
            <w:r>
              <w:rPr>
                <w:sz w:val="22"/>
                <w:szCs w:val="22"/>
              </w:rPr>
              <w:t xml:space="preserve">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07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07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07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07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07"/>
            </w:pPr>
            <w:r>
              <w:t xml:space="preserve">Участник 1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07"/>
              <w:jc w:val="both"/>
              <w:spacing w:line="360" w:lineRule="auto"/>
            </w:pPr>
            <w:r>
              <w:t xml:space="preserve">09.12.2025</w:t>
            </w:r>
            <w:r>
              <w:t xml:space="preserve"> </w:t>
            </w:r>
            <w:r>
              <w:t xml:space="preserve">08</w:t>
            </w:r>
            <w:r>
              <w:t xml:space="preserve">:37</w:t>
            </w:r>
            <w:r>
              <w:t xml:space="preserve"> </w:t>
            </w:r>
            <w:r/>
          </w:p>
          <w:p>
            <w:pPr>
              <w:pStyle w:val="907"/>
              <w:jc w:val="both"/>
              <w:spacing w:line="360" w:lineRule="auto"/>
              <w:rPr>
                <w:color w:val="548dd4"/>
              </w:rPr>
            </w:pPr>
            <w:r>
              <w:t xml:space="preserve">1 778 971,00 </w:t>
            </w:r>
            <w:r>
              <w:t xml:space="preserve">руб без НДС</w:t>
            </w:r>
            <w:r>
              <w:t xml:space="preserve"> </w:t>
            </w:r>
            <w:r>
              <w:rPr>
                <w:color w:val="548dd4"/>
              </w:rPr>
            </w:r>
            <w:r>
              <w:rPr>
                <w:color w:val="548dd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</w:pPr>
            <w:r>
              <w:t xml:space="preserve">Участник 2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jc w:val="both"/>
              <w:spacing w:line="360" w:lineRule="auto"/>
            </w:pPr>
            <w:r>
              <w:t xml:space="preserve">09.12.2025</w:t>
            </w:r>
            <w:r>
              <w:t xml:space="preserve"> 09</w:t>
            </w:r>
            <w:r>
              <w:t xml:space="preserve">:00</w:t>
            </w:r>
            <w:r>
              <w:t xml:space="preserve"> </w:t>
            </w:r>
            <w:r/>
          </w:p>
          <w:p>
            <w:pPr>
              <w:pStyle w:val="907"/>
              <w:jc w:val="both"/>
              <w:spacing w:line="360" w:lineRule="auto"/>
              <w:rPr>
                <w:color w:val="548dd4"/>
              </w:rPr>
            </w:pPr>
            <w:r>
              <w:t xml:space="preserve">1 523 360,00 </w:t>
            </w:r>
            <w:r>
              <w:t xml:space="preserve">руб без НДС</w:t>
            </w:r>
            <w:r>
              <w:t xml:space="preserve"> </w:t>
            </w:r>
            <w:r>
              <w:rPr>
                <w:color w:val="548dd4"/>
              </w:rPr>
            </w:r>
            <w:r>
              <w:rPr>
                <w:color w:val="548dd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</w:pPr>
            <w:r>
              <w:t xml:space="preserve">Участник 3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jc w:val="both"/>
              <w:spacing w:line="360" w:lineRule="auto"/>
            </w:pPr>
            <w:r>
              <w:t xml:space="preserve">10.12.2025</w:t>
            </w:r>
            <w:r>
              <w:t xml:space="preserve"> 12:48</w:t>
            </w:r>
            <w:r/>
          </w:p>
          <w:p>
            <w:pPr>
              <w:pStyle w:val="907"/>
              <w:jc w:val="both"/>
              <w:spacing w:line="360" w:lineRule="auto"/>
              <w:rPr>
                <w:color w:val="548dd4"/>
              </w:rPr>
            </w:pPr>
            <w:r>
              <w:t xml:space="preserve">1 700 100,11 </w:t>
            </w:r>
            <w:r>
              <w:t xml:space="preserve">руб без НДС</w:t>
            </w:r>
            <w:r>
              <w:t xml:space="preserve"> </w:t>
            </w:r>
            <w:r>
              <w:rPr>
                <w:color w:val="548dd4"/>
              </w:rPr>
            </w:r>
            <w:r>
              <w:rPr>
                <w:color w:val="548dd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</w:pPr>
            <w:r>
              <w:t xml:space="preserve">Участник 4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jc w:val="both"/>
              <w:spacing w:line="360" w:lineRule="auto"/>
            </w:pPr>
            <w:r>
              <w:t xml:space="preserve">11.12.2025</w:t>
            </w:r>
            <w:r>
              <w:t xml:space="preserve"> 08</w:t>
            </w:r>
            <w:r>
              <w:t xml:space="preserve">:49</w:t>
            </w:r>
            <w:r>
              <w:t xml:space="preserve"> </w:t>
            </w:r>
            <w:r/>
          </w:p>
          <w:p>
            <w:pPr>
              <w:pStyle w:val="907"/>
              <w:jc w:val="both"/>
              <w:spacing w:line="360" w:lineRule="auto"/>
              <w:rPr>
                <w:color w:val="548dd4"/>
              </w:rPr>
            </w:pPr>
            <w:r>
              <w:t xml:space="preserve">1 524 369,00 </w:t>
            </w:r>
            <w:r>
              <w:t xml:space="preserve">руб без НДС</w:t>
            </w:r>
            <w:r>
              <w:t xml:space="preserve"> </w:t>
            </w:r>
            <w:r>
              <w:rPr>
                <w:color w:val="548dd4"/>
              </w:rPr>
            </w:r>
            <w:r>
              <w:rPr>
                <w:color w:val="548dd4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</w:pPr>
            <w:r>
              <w:t xml:space="preserve">Участник 5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07"/>
              <w:jc w:val="both"/>
              <w:spacing w:line="360" w:lineRule="auto"/>
            </w:pPr>
            <w:r>
              <w:t xml:space="preserve">12.12.2025</w:t>
            </w:r>
            <w:r>
              <w:t xml:space="preserve"> 10:25</w:t>
            </w:r>
            <w:r>
              <w:t xml:space="preserve"> </w:t>
            </w:r>
            <w:r/>
          </w:p>
          <w:p>
            <w:pPr>
              <w:pStyle w:val="907"/>
              <w:jc w:val="both"/>
              <w:spacing w:line="360" w:lineRule="auto"/>
              <w:rPr>
                <w:color w:val="548dd4"/>
              </w:rPr>
            </w:pPr>
            <w:r>
              <w:t xml:space="preserve">1 904 186,00 </w:t>
            </w:r>
            <w:r>
              <w:t xml:space="preserve">руб без НДС</w:t>
            </w:r>
            <w:r>
              <w:t xml:space="preserve"> </w:t>
            </w:r>
            <w:r>
              <w:rPr>
                <w:color w:val="548dd4"/>
              </w:rPr>
            </w:r>
            <w:r>
              <w:rPr>
                <w:color w:val="548dd4"/>
              </w:rPr>
            </w:r>
          </w:p>
        </w:tc>
      </w:tr>
    </w:tbl>
    <w:p>
      <w:pPr>
        <w:pStyle w:val="907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07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  <w:r>
        <w:rPr>
          <w:u w:val="single"/>
        </w:rPr>
      </w:r>
      <w:r>
        <w:rPr>
          <w:u w:val="single"/>
        </w:rPr>
      </w:r>
      <w:r/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jc w:val="center"/>
      <w:tabs>
        <w:tab w:val="right" w:pos="9922" w:leader="none"/>
      </w:tabs>
      <w:rPr>
        <w:rFonts w:ascii="Liberation Serif" w:hAnsi="Liberation Serif" w:cs="Liberation Serif"/>
        <w:color w:val="4472c4"/>
        <w:sz w:val="18"/>
        <w:szCs w:val="18"/>
      </w:rPr>
      <w:pBdr>
        <w:top w:val="single" w:color="622423" w:sz="24" w:space="0"/>
      </w:pBdr>
    </w:pP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Протокол № </w:t>
    </w: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221354</w:t>
    </w: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-ПВК</w:t>
    </w: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 </w:t>
    </w:r>
    <w:r>
      <w:rPr>
        <w:rFonts w:ascii="Liberation Serif" w:hAnsi="Liberation Serif" w:cs="Liberation Serif"/>
        <w:color w:val="4472c4"/>
        <w:sz w:val="18"/>
        <w:szCs w:val="18"/>
      </w:rPr>
    </w:r>
    <w:r>
      <w:rPr>
        <w:rFonts w:ascii="Liberation Serif" w:hAnsi="Liberation Serif" w:cs="Liberation Serif"/>
        <w:color w:val="4472c4"/>
        <w:sz w:val="18"/>
        <w:szCs w:val="18"/>
      </w:rPr>
    </w:r>
  </w:p>
  <w:p>
    <w:pPr>
      <w:pStyle w:val="759"/>
      <w:jc w:val="center"/>
    </w:pP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заседания комиссии филиала «Калининградская ТЭЦ-2» АО «Интер РАО – Электрогенерация»</w:t>
    </w:r>
    <w:r>
      <w:rPr>
        <w:rFonts w:ascii="Liberation Serif" w:hAnsi="Liberation Serif" w:cs="Liberation Serif"/>
        <w:color w:val="4472c4"/>
        <w:sz w:val="18"/>
        <w:szCs w:val="18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9"/>
      <w:jc w:val="center"/>
      <w:tabs>
        <w:tab w:val="right" w:pos="9922" w:leader="none"/>
      </w:tabs>
      <w:rPr>
        <w:rFonts w:ascii="Liberation Serif" w:hAnsi="Liberation Serif" w:cs="Liberation Serif"/>
        <w:color w:val="4472c4"/>
        <w:sz w:val="18"/>
        <w:szCs w:val="18"/>
      </w:rPr>
      <w:pBdr>
        <w:top w:val="single" w:color="622423" w:sz="24" w:space="0"/>
      </w:pBdr>
    </w:pP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Протокол № </w:t>
    </w: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221354</w:t>
    </w: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-ПВК</w:t>
    </w:r>
    <w:r>
      <w:rPr>
        <w:rFonts w:ascii="Liberation Serif" w:hAnsi="Liberation Serif" w:cs="Liberation Serif"/>
        <w:color w:val="4472c4"/>
        <w:sz w:val="18"/>
        <w:szCs w:val="18"/>
      </w:rPr>
    </w:r>
    <w:r>
      <w:rPr>
        <w:rFonts w:ascii="Liberation Serif" w:hAnsi="Liberation Serif" w:cs="Liberation Serif"/>
        <w:color w:val="4472c4"/>
        <w:sz w:val="18"/>
        <w:szCs w:val="18"/>
      </w:rPr>
    </w:r>
  </w:p>
  <w:p>
    <w:pPr>
      <w:pStyle w:val="759"/>
      <w:jc w:val="center"/>
    </w:pPr>
    <w:r>
      <w:rPr>
        <w:rFonts w:ascii="Liberation Serif" w:hAnsi="Liberation Serif" w:eastAsia="Liberation Serif" w:cs="Liberation Serif"/>
        <w:i/>
        <w:iCs/>
        <w:color w:val="4472c4"/>
        <w:sz w:val="18"/>
        <w:szCs w:val="18"/>
        <w:lang w:val="ru-RU"/>
      </w:rPr>
      <w:t xml:space="preserve">заседания комиссии филиала «Калининградская ТЭЦ-2» АО «Интер РАО – Электрогенерация»</w:t>
    </w:r>
    <w:r>
      <w:rPr>
        <w:rFonts w:ascii="Liberation Serif" w:hAnsi="Liberation Serif" w:cs="Liberation Serif"/>
        <w:color w:val="4472c4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9">
    <w:name w:val="Heading 1"/>
    <w:basedOn w:val="907"/>
    <w:next w:val="907"/>
    <w:link w:val="73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0">
    <w:name w:val="Heading 1 Char"/>
    <w:link w:val="729"/>
    <w:uiPriority w:val="9"/>
    <w:rPr>
      <w:rFonts w:ascii="Arial" w:hAnsi="Arial" w:eastAsia="Arial" w:cs="Arial"/>
      <w:sz w:val="40"/>
      <w:szCs w:val="40"/>
    </w:rPr>
  </w:style>
  <w:style w:type="paragraph" w:styleId="731">
    <w:name w:val="Heading 2"/>
    <w:basedOn w:val="907"/>
    <w:next w:val="907"/>
    <w:link w:val="73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32">
    <w:name w:val="Heading 2 Char"/>
    <w:link w:val="731"/>
    <w:uiPriority w:val="9"/>
    <w:rPr>
      <w:rFonts w:ascii="Arial" w:hAnsi="Arial" w:eastAsia="Arial" w:cs="Arial"/>
      <w:sz w:val="34"/>
    </w:rPr>
  </w:style>
  <w:style w:type="paragraph" w:styleId="733">
    <w:name w:val="Heading 3"/>
    <w:basedOn w:val="907"/>
    <w:next w:val="907"/>
    <w:link w:val="73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34">
    <w:name w:val="Heading 3 Char"/>
    <w:link w:val="733"/>
    <w:uiPriority w:val="9"/>
    <w:rPr>
      <w:rFonts w:ascii="Arial" w:hAnsi="Arial" w:eastAsia="Arial" w:cs="Arial"/>
      <w:sz w:val="30"/>
      <w:szCs w:val="30"/>
    </w:rPr>
  </w:style>
  <w:style w:type="paragraph" w:styleId="735">
    <w:name w:val="Heading 4"/>
    <w:basedOn w:val="907"/>
    <w:next w:val="907"/>
    <w:link w:val="73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6">
    <w:name w:val="Heading 4 Char"/>
    <w:link w:val="735"/>
    <w:uiPriority w:val="9"/>
    <w:rPr>
      <w:rFonts w:ascii="Arial" w:hAnsi="Arial" w:eastAsia="Arial" w:cs="Arial"/>
      <w:b/>
      <w:bCs/>
      <w:sz w:val="26"/>
      <w:szCs w:val="26"/>
    </w:rPr>
  </w:style>
  <w:style w:type="paragraph" w:styleId="737">
    <w:name w:val="Heading 5"/>
    <w:basedOn w:val="907"/>
    <w:next w:val="907"/>
    <w:link w:val="73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8">
    <w:name w:val="Heading 5 Char"/>
    <w:link w:val="737"/>
    <w:uiPriority w:val="9"/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907"/>
    <w:next w:val="907"/>
    <w:link w:val="74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0">
    <w:name w:val="Heading 6 Char"/>
    <w:link w:val="739"/>
    <w:uiPriority w:val="9"/>
    <w:rPr>
      <w:rFonts w:ascii="Arial" w:hAnsi="Arial" w:eastAsia="Arial" w:cs="Arial"/>
      <w:b/>
      <w:bCs/>
      <w:sz w:val="22"/>
      <w:szCs w:val="22"/>
    </w:rPr>
  </w:style>
  <w:style w:type="paragraph" w:styleId="741">
    <w:name w:val="Heading 7"/>
    <w:basedOn w:val="907"/>
    <w:next w:val="907"/>
    <w:link w:val="74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2">
    <w:name w:val="Heading 7 Char"/>
    <w:link w:val="74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43">
    <w:name w:val="Heading 8"/>
    <w:basedOn w:val="907"/>
    <w:next w:val="907"/>
    <w:link w:val="74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44">
    <w:name w:val="Heading 8 Char"/>
    <w:link w:val="743"/>
    <w:uiPriority w:val="9"/>
    <w:rPr>
      <w:rFonts w:ascii="Arial" w:hAnsi="Arial" w:eastAsia="Arial" w:cs="Arial"/>
      <w:i/>
      <w:iCs/>
      <w:sz w:val="22"/>
      <w:szCs w:val="22"/>
    </w:rPr>
  </w:style>
  <w:style w:type="paragraph" w:styleId="745">
    <w:name w:val="Heading 9"/>
    <w:basedOn w:val="907"/>
    <w:next w:val="907"/>
    <w:link w:val="74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6">
    <w:name w:val="Heading 9 Char"/>
    <w:link w:val="745"/>
    <w:uiPriority w:val="9"/>
    <w:rPr>
      <w:rFonts w:ascii="Arial" w:hAnsi="Arial" w:eastAsia="Arial" w:cs="Arial"/>
      <w:i/>
      <w:iCs/>
      <w:sz w:val="21"/>
      <w:szCs w:val="21"/>
    </w:rPr>
  </w:style>
  <w:style w:type="paragraph" w:styleId="747">
    <w:name w:val="List Paragraph"/>
    <w:basedOn w:val="907"/>
    <w:uiPriority w:val="34"/>
    <w:qFormat/>
    <w:pPr>
      <w:contextualSpacing/>
      <w:ind w:left="720"/>
    </w:pPr>
  </w:style>
  <w:style w:type="paragraph" w:styleId="748">
    <w:name w:val="No Spacing"/>
    <w:uiPriority w:val="1"/>
    <w:qFormat/>
    <w:pPr>
      <w:spacing w:before="0" w:after="0" w:line="240" w:lineRule="auto"/>
    </w:pPr>
  </w:style>
  <w:style w:type="paragraph" w:styleId="749">
    <w:name w:val="Title"/>
    <w:basedOn w:val="907"/>
    <w:next w:val="907"/>
    <w:link w:val="75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0">
    <w:name w:val="Title Char"/>
    <w:link w:val="749"/>
    <w:uiPriority w:val="10"/>
    <w:rPr>
      <w:sz w:val="48"/>
      <w:szCs w:val="48"/>
    </w:rPr>
  </w:style>
  <w:style w:type="paragraph" w:styleId="751">
    <w:name w:val="Subtitle"/>
    <w:basedOn w:val="907"/>
    <w:next w:val="907"/>
    <w:link w:val="752"/>
    <w:uiPriority w:val="11"/>
    <w:qFormat/>
    <w:pPr>
      <w:spacing w:before="200" w:after="200"/>
    </w:pPr>
    <w:rPr>
      <w:sz w:val="24"/>
      <w:szCs w:val="24"/>
    </w:rPr>
  </w:style>
  <w:style w:type="character" w:styleId="752">
    <w:name w:val="Subtitle Char"/>
    <w:link w:val="751"/>
    <w:uiPriority w:val="11"/>
    <w:rPr>
      <w:sz w:val="24"/>
      <w:szCs w:val="24"/>
    </w:rPr>
  </w:style>
  <w:style w:type="paragraph" w:styleId="753">
    <w:name w:val="Quote"/>
    <w:basedOn w:val="907"/>
    <w:next w:val="907"/>
    <w:link w:val="754"/>
    <w:uiPriority w:val="29"/>
    <w:qFormat/>
    <w:pPr>
      <w:ind w:left="720" w:right="720"/>
    </w:pPr>
    <w:rPr>
      <w:i/>
    </w:rPr>
  </w:style>
  <w:style w:type="character" w:styleId="754">
    <w:name w:val="Quote Char"/>
    <w:link w:val="753"/>
    <w:uiPriority w:val="29"/>
    <w:rPr>
      <w:i/>
    </w:rPr>
  </w:style>
  <w:style w:type="paragraph" w:styleId="755">
    <w:name w:val="Intense Quote"/>
    <w:basedOn w:val="907"/>
    <w:next w:val="907"/>
    <w:link w:val="75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6">
    <w:name w:val="Intense Quote Char"/>
    <w:link w:val="755"/>
    <w:uiPriority w:val="30"/>
    <w:rPr>
      <w:i/>
    </w:rPr>
  </w:style>
  <w:style w:type="paragraph" w:styleId="757">
    <w:name w:val="Header"/>
    <w:basedOn w:val="907"/>
    <w:link w:val="75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8">
    <w:name w:val="Header Char"/>
    <w:link w:val="757"/>
    <w:uiPriority w:val="99"/>
  </w:style>
  <w:style w:type="paragraph" w:styleId="759">
    <w:name w:val="Footer"/>
    <w:basedOn w:val="907"/>
    <w:link w:val="76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0">
    <w:name w:val="Footer Char"/>
    <w:link w:val="759"/>
    <w:uiPriority w:val="99"/>
  </w:style>
  <w:style w:type="paragraph" w:styleId="761">
    <w:name w:val="Caption"/>
    <w:basedOn w:val="907"/>
    <w:next w:val="907"/>
    <w:link w:val="76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2">
    <w:name w:val="Caption Char"/>
    <w:basedOn w:val="761"/>
    <w:link w:val="759"/>
    <w:uiPriority w:val="99"/>
  </w:style>
  <w:style w:type="table" w:styleId="76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0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0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0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0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0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0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6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6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6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6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6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6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7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7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7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7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7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7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8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8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8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9">
    <w:name w:val="Hyperlink"/>
    <w:uiPriority w:val="99"/>
    <w:unhideWhenUsed/>
    <w:rPr>
      <w:color w:val="0000ff" w:themeColor="hyperlink"/>
      <w:u w:val="single"/>
    </w:rPr>
  </w:style>
  <w:style w:type="paragraph" w:styleId="890">
    <w:name w:val="footnote text"/>
    <w:basedOn w:val="907"/>
    <w:link w:val="891"/>
    <w:uiPriority w:val="99"/>
    <w:semiHidden/>
    <w:unhideWhenUsed/>
    <w:pPr>
      <w:spacing w:after="40" w:line="240" w:lineRule="auto"/>
    </w:pPr>
    <w:rPr>
      <w:sz w:val="18"/>
    </w:rPr>
  </w:style>
  <w:style w:type="character" w:styleId="891">
    <w:name w:val="Footnote Text Char"/>
    <w:link w:val="890"/>
    <w:uiPriority w:val="99"/>
    <w:rPr>
      <w:sz w:val="18"/>
    </w:rPr>
  </w:style>
  <w:style w:type="character" w:styleId="892">
    <w:name w:val="footnote reference"/>
    <w:uiPriority w:val="99"/>
    <w:unhideWhenUsed/>
    <w:rPr>
      <w:vertAlign w:val="superscript"/>
    </w:rPr>
  </w:style>
  <w:style w:type="paragraph" w:styleId="893">
    <w:name w:val="endnote text"/>
    <w:basedOn w:val="907"/>
    <w:link w:val="894"/>
    <w:uiPriority w:val="99"/>
    <w:semiHidden/>
    <w:unhideWhenUsed/>
    <w:pPr>
      <w:spacing w:after="0" w:line="240" w:lineRule="auto"/>
    </w:pPr>
    <w:rPr>
      <w:sz w:val="20"/>
    </w:rPr>
  </w:style>
  <w:style w:type="character" w:styleId="894">
    <w:name w:val="Endnote Text Char"/>
    <w:link w:val="893"/>
    <w:uiPriority w:val="99"/>
    <w:rPr>
      <w:sz w:val="20"/>
    </w:rPr>
  </w:style>
  <w:style w:type="character" w:styleId="895">
    <w:name w:val="endnote reference"/>
    <w:uiPriority w:val="99"/>
    <w:semiHidden/>
    <w:unhideWhenUsed/>
    <w:rPr>
      <w:vertAlign w:val="superscript"/>
    </w:rPr>
  </w:style>
  <w:style w:type="paragraph" w:styleId="896">
    <w:name w:val="toc 1"/>
    <w:basedOn w:val="907"/>
    <w:next w:val="907"/>
    <w:uiPriority w:val="39"/>
    <w:unhideWhenUsed/>
    <w:pPr>
      <w:ind w:left="0" w:right="0" w:firstLine="0"/>
      <w:spacing w:after="57"/>
    </w:pPr>
  </w:style>
  <w:style w:type="paragraph" w:styleId="897">
    <w:name w:val="toc 2"/>
    <w:basedOn w:val="907"/>
    <w:next w:val="907"/>
    <w:uiPriority w:val="39"/>
    <w:unhideWhenUsed/>
    <w:pPr>
      <w:ind w:left="283" w:right="0" w:firstLine="0"/>
      <w:spacing w:after="57"/>
    </w:pPr>
  </w:style>
  <w:style w:type="paragraph" w:styleId="898">
    <w:name w:val="toc 3"/>
    <w:basedOn w:val="907"/>
    <w:next w:val="907"/>
    <w:uiPriority w:val="39"/>
    <w:unhideWhenUsed/>
    <w:pPr>
      <w:ind w:left="567" w:right="0" w:firstLine="0"/>
      <w:spacing w:after="57"/>
    </w:pPr>
  </w:style>
  <w:style w:type="paragraph" w:styleId="899">
    <w:name w:val="toc 4"/>
    <w:basedOn w:val="907"/>
    <w:next w:val="907"/>
    <w:uiPriority w:val="39"/>
    <w:unhideWhenUsed/>
    <w:pPr>
      <w:ind w:left="850" w:right="0" w:firstLine="0"/>
      <w:spacing w:after="57"/>
    </w:pPr>
  </w:style>
  <w:style w:type="paragraph" w:styleId="900">
    <w:name w:val="toc 5"/>
    <w:basedOn w:val="907"/>
    <w:next w:val="907"/>
    <w:uiPriority w:val="39"/>
    <w:unhideWhenUsed/>
    <w:pPr>
      <w:ind w:left="1134" w:right="0" w:firstLine="0"/>
      <w:spacing w:after="57"/>
    </w:pPr>
  </w:style>
  <w:style w:type="paragraph" w:styleId="901">
    <w:name w:val="toc 6"/>
    <w:basedOn w:val="907"/>
    <w:next w:val="907"/>
    <w:uiPriority w:val="39"/>
    <w:unhideWhenUsed/>
    <w:pPr>
      <w:ind w:left="1417" w:right="0" w:firstLine="0"/>
      <w:spacing w:after="57"/>
    </w:pPr>
  </w:style>
  <w:style w:type="paragraph" w:styleId="902">
    <w:name w:val="toc 7"/>
    <w:basedOn w:val="907"/>
    <w:next w:val="907"/>
    <w:uiPriority w:val="39"/>
    <w:unhideWhenUsed/>
    <w:pPr>
      <w:ind w:left="1701" w:right="0" w:firstLine="0"/>
      <w:spacing w:after="57"/>
    </w:pPr>
  </w:style>
  <w:style w:type="paragraph" w:styleId="903">
    <w:name w:val="toc 8"/>
    <w:basedOn w:val="907"/>
    <w:next w:val="907"/>
    <w:uiPriority w:val="39"/>
    <w:unhideWhenUsed/>
    <w:pPr>
      <w:ind w:left="1984" w:right="0" w:firstLine="0"/>
      <w:spacing w:after="57"/>
    </w:pPr>
  </w:style>
  <w:style w:type="paragraph" w:styleId="904">
    <w:name w:val="toc 9"/>
    <w:basedOn w:val="907"/>
    <w:next w:val="907"/>
    <w:uiPriority w:val="39"/>
    <w:unhideWhenUsed/>
    <w:pPr>
      <w:ind w:left="2268" w:right="0" w:firstLine="0"/>
      <w:spacing w:after="57"/>
    </w:pPr>
  </w:style>
  <w:style w:type="paragraph" w:styleId="905">
    <w:name w:val="TOC Heading"/>
    <w:uiPriority w:val="39"/>
    <w:unhideWhenUsed/>
  </w:style>
  <w:style w:type="paragraph" w:styleId="906">
    <w:name w:val="table of figures"/>
    <w:basedOn w:val="907"/>
    <w:next w:val="907"/>
    <w:uiPriority w:val="99"/>
    <w:unhideWhenUsed/>
    <w:pPr>
      <w:spacing w:after="0" w:afterAutospacing="0"/>
    </w:pPr>
  </w:style>
  <w:style w:type="paragraph" w:styleId="907" w:default="1">
    <w:name w:val="Normal"/>
    <w:next w:val="907"/>
    <w:link w:val="907"/>
    <w:qFormat/>
    <w:rPr>
      <w:sz w:val="24"/>
      <w:szCs w:val="24"/>
      <w:lang w:val="ru-RU" w:eastAsia="ru-RU" w:bidi="ar-SA"/>
    </w:rPr>
  </w:style>
  <w:style w:type="paragraph" w:styleId="908">
    <w:name w:val="Заголовок 1"/>
    <w:basedOn w:val="907"/>
    <w:next w:val="907"/>
    <w:link w:val="907"/>
    <w:qFormat/>
    <w:pPr>
      <w:jc w:val="both"/>
      <w:keepNext/>
      <w:outlineLvl w:val="0"/>
    </w:pPr>
    <w:rPr>
      <w:sz w:val="28"/>
      <w:szCs w:val="28"/>
    </w:rPr>
  </w:style>
  <w:style w:type="character" w:styleId="909">
    <w:name w:val="Основной шрифт абзаца"/>
    <w:next w:val="909"/>
    <w:link w:val="907"/>
    <w:semiHidden/>
  </w:style>
  <w:style w:type="table" w:styleId="910">
    <w:name w:val="Обычная таблица"/>
    <w:next w:val="910"/>
    <w:link w:val="907"/>
    <w:semiHidden/>
    <w:tblPr/>
  </w:style>
  <w:style w:type="numbering" w:styleId="911">
    <w:name w:val="Нет списка"/>
    <w:next w:val="911"/>
    <w:link w:val="907"/>
    <w:semiHidden/>
  </w:style>
  <w:style w:type="paragraph" w:styleId="912">
    <w:name w:val="Default Paragraph Font Para Char Char Знак"/>
    <w:basedOn w:val="907"/>
    <w:next w:val="912"/>
    <w:link w:val="90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13">
    <w:name w:val="Верхний колонтитул"/>
    <w:basedOn w:val="907"/>
    <w:next w:val="913"/>
    <w:link w:val="907"/>
    <w:pPr>
      <w:tabs>
        <w:tab w:val="center" w:pos="4677" w:leader="none"/>
        <w:tab w:val="right" w:pos="9355" w:leader="none"/>
      </w:tabs>
    </w:pPr>
  </w:style>
  <w:style w:type="character" w:styleId="914">
    <w:name w:val="Номер страницы"/>
    <w:basedOn w:val="909"/>
    <w:next w:val="914"/>
    <w:link w:val="907"/>
  </w:style>
  <w:style w:type="paragraph" w:styleId="915">
    <w:name w:val="Таблица шапка"/>
    <w:basedOn w:val="907"/>
    <w:next w:val="915"/>
    <w:link w:val="907"/>
    <w:pPr>
      <w:ind w:left="57" w:right="57"/>
      <w:keepNext/>
      <w:spacing w:before="40" w:after="40"/>
    </w:pPr>
    <w:rPr>
      <w:sz w:val="22"/>
      <w:szCs w:val="20"/>
    </w:rPr>
  </w:style>
  <w:style w:type="paragraph" w:styleId="916">
    <w:name w:val="Таблица текст"/>
    <w:basedOn w:val="907"/>
    <w:next w:val="916"/>
    <w:link w:val="907"/>
    <w:pPr>
      <w:ind w:left="57" w:right="57"/>
      <w:spacing w:before="40" w:after="40"/>
    </w:pPr>
    <w:rPr>
      <w:szCs w:val="20"/>
    </w:rPr>
  </w:style>
  <w:style w:type="character" w:styleId="917">
    <w:name w:val="комментарий"/>
    <w:next w:val="917"/>
    <w:link w:val="907"/>
    <w:rPr>
      <w:b/>
      <w:i/>
      <w:shd w:val="clear" w:color="auto" w:fill="ffff99"/>
    </w:rPr>
  </w:style>
  <w:style w:type="paragraph" w:styleId="918">
    <w:name w:val="Схема документа"/>
    <w:basedOn w:val="907"/>
    <w:next w:val="918"/>
    <w:link w:val="90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19">
    <w:name w:val="Текст выноски"/>
    <w:basedOn w:val="907"/>
    <w:next w:val="919"/>
    <w:link w:val="907"/>
    <w:semiHidden/>
    <w:rPr>
      <w:rFonts w:ascii="Tahoma" w:hAnsi="Tahoma" w:cs="Tahoma"/>
      <w:sz w:val="16"/>
      <w:szCs w:val="16"/>
    </w:rPr>
  </w:style>
  <w:style w:type="table" w:styleId="920">
    <w:name w:val="Сетка таблицы"/>
    <w:basedOn w:val="910"/>
    <w:next w:val="920"/>
    <w:link w:val="907"/>
    <w:pPr>
      <w:ind w:firstLine="567"/>
      <w:jc w:val="both"/>
      <w:spacing w:line="360" w:lineRule="auto"/>
    </w:pPr>
    <w:tblPr/>
  </w:style>
  <w:style w:type="paragraph" w:styleId="921">
    <w:name w:val="Нижний колонтитул"/>
    <w:basedOn w:val="907"/>
    <w:next w:val="921"/>
    <w:link w:val="924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22">
    <w:name w:val="Комментраий Знак"/>
    <w:next w:val="922"/>
    <w:link w:val="907"/>
    <w:rPr>
      <w:i/>
      <w:color w:val="3366ff"/>
      <w:sz w:val="28"/>
      <w:szCs w:val="28"/>
      <w:lang w:val="ru-RU" w:eastAsia="ru-RU" w:bidi="ar-SA"/>
    </w:rPr>
  </w:style>
  <w:style w:type="table" w:styleId="923">
    <w:name w:val="Сетка таблицы1"/>
    <w:basedOn w:val="910"/>
    <w:next w:val="920"/>
    <w:link w:val="907"/>
    <w:tblPr/>
  </w:style>
  <w:style w:type="character" w:styleId="924">
    <w:name w:val="Нижний колонтитул Знак"/>
    <w:next w:val="924"/>
    <w:link w:val="921"/>
    <w:uiPriority w:val="99"/>
    <w:rPr>
      <w:sz w:val="24"/>
      <w:szCs w:val="24"/>
    </w:rPr>
  </w:style>
  <w:style w:type="character" w:styleId="925">
    <w:name w:val="Знак примечания"/>
    <w:next w:val="925"/>
    <w:link w:val="907"/>
    <w:rPr>
      <w:sz w:val="16"/>
      <w:szCs w:val="16"/>
    </w:rPr>
  </w:style>
  <w:style w:type="paragraph" w:styleId="926">
    <w:name w:val="Текст примечания"/>
    <w:basedOn w:val="907"/>
    <w:next w:val="926"/>
    <w:link w:val="927"/>
    <w:rPr>
      <w:sz w:val="20"/>
      <w:szCs w:val="20"/>
    </w:rPr>
  </w:style>
  <w:style w:type="character" w:styleId="927">
    <w:name w:val="Текст примечания Знак"/>
    <w:basedOn w:val="909"/>
    <w:next w:val="927"/>
    <w:link w:val="926"/>
  </w:style>
  <w:style w:type="paragraph" w:styleId="928">
    <w:name w:val="Тема примечания"/>
    <w:basedOn w:val="926"/>
    <w:next w:val="926"/>
    <w:link w:val="929"/>
    <w:rPr>
      <w:b/>
      <w:bCs/>
      <w:lang w:val="en-US" w:eastAsia="en-US"/>
    </w:rPr>
  </w:style>
  <w:style w:type="character" w:styleId="929">
    <w:name w:val="Тема примечания Знак"/>
    <w:next w:val="929"/>
    <w:link w:val="928"/>
    <w:rPr>
      <w:b/>
      <w:bCs/>
    </w:rPr>
  </w:style>
  <w:style w:type="paragraph" w:styleId="930">
    <w:name w:val="Абзац списка"/>
    <w:basedOn w:val="907"/>
    <w:next w:val="930"/>
    <w:link w:val="907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31" w:default="1">
    <w:name w:val="Default Paragraph Font"/>
    <w:uiPriority w:val="1"/>
    <w:semiHidden/>
    <w:unhideWhenUsed/>
  </w:style>
  <w:style w:type="numbering" w:styleId="932" w:default="1">
    <w:name w:val="No List"/>
    <w:uiPriority w:val="99"/>
    <w:semiHidden/>
    <w:unhideWhenUsed/>
  </w:style>
  <w:style w:type="table" w:styleId="93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kabakova_iv</cp:lastModifiedBy>
  <cp:revision>6</cp:revision>
  <dcterms:created xsi:type="dcterms:W3CDTF">2023-09-22T06:34:00Z</dcterms:created>
  <dcterms:modified xsi:type="dcterms:W3CDTF">2025-12-15T08:43:23Z</dcterms:modified>
  <cp:version>1048576</cp:version>
</cp:coreProperties>
</file>