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4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bCs/>
          <w:i/>
          <w:sz w:val="23"/>
          <w:szCs w:val="23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</w:rPr>
      </w:r>
    </w:p>
    <w:p>
      <w:pPr>
        <w:pStyle w:val="934"/>
        <w:jc w:val="center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i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</w:rPr>
        <w:t xml:space="preserve"> № </w:t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</w:rPr>
        <w:t xml:space="preserve">32515379492</w:t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</w:rPr>
        <w:t xml:space="preserve">/2</w:t>
      </w:r>
      <w:r>
        <w:rPr>
          <w:rFonts w:ascii="Times New Roman" w:hAnsi="Times New Roman" w:cs="Times New Roman"/>
          <w:b/>
          <w:bCs/>
          <w:i/>
          <w:sz w:val="23"/>
          <w:szCs w:val="23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</w:rPr>
      </w:r>
    </w:p>
    <w:p>
      <w:pPr>
        <w:pStyle w:val="96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9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Общее число членов постоянно действующей закупочной комиссии Филиала ПАО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«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Россети Юг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» - «Кубаньэнерго»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составляет - 9.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tbl>
      <w:tblPr>
        <w:tblW w:w="10171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171"/>
      </w:tblGrid>
      <w:tr>
        <w:tblPrEx/>
        <w:trPr>
          <w:trHeight w:val="1048"/>
        </w:trPr>
        <w:tc>
          <w:tcPr>
            <w:tcW w:w="10171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Председатель ПДЗК: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b w:val="0"/>
                <w:bCs w:val="0"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Заместитель председателя ПДЗ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К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  <w:t xml:space="preserve">О.Ф. Нищук.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</w:r>
          </w:p>
          <w:p>
            <w:pPr>
              <w:ind w:left="0" w:right="0" w:firstLine="0"/>
              <w:jc w:val="both"/>
              <w:spacing w:before="0" w:beforeAutospacing="0" w:after="0" w:afterAutospacing="0"/>
              <w:rPr>
                <w:b w:val="0"/>
                <w:bCs w:val="0"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  <w:t xml:space="preserve">С.С. Шевченко, А.А. Часов, Д.А. Коновалов, О.В. Бабак.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</w:r>
            <w:r>
              <w:rPr>
                <w:b w:val="0"/>
                <w:bCs w:val="0"/>
                <w:color w:val="000000"/>
                <w:sz w:val="23"/>
                <w:szCs w:val="23"/>
              </w:rPr>
            </w:r>
          </w:p>
          <w:p>
            <w:pPr>
              <w:pStyle w:val="969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  <w:t xml:space="preserve">В.А. Михайлов,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  <w:t xml:space="preserve">С.С. Заворин, </w:t>
            </w:r>
            <w:r>
              <w:rPr>
                <w:b w:val="0"/>
                <w:bCs w:val="0"/>
                <w:color w:val="000000"/>
                <w:sz w:val="23"/>
                <w:szCs w:val="23"/>
              </w:rPr>
            </w:r>
            <w:r>
              <w:rPr>
                <w:b w:val="0"/>
                <w:bCs w:val="0"/>
                <w:color w:val="000000"/>
                <w:sz w:val="23"/>
                <w:szCs w:val="23"/>
              </w:rPr>
              <w:t xml:space="preserve">О.В. Крылов.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</w:tc>
      </w:tr>
    </w:tbl>
    <w:p>
      <w:pPr>
        <w:pStyle w:val="969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34"/>
        <w:jc w:val="both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предложений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щадки «</w:t>
      </w:r>
      <w:r>
        <w:rPr>
          <w:rFonts w:ascii="Times New Roman" w:hAnsi="Times New Roman" w:eastAsia="Times New Roman" w:cs="Times New Roman"/>
          <w:iCs/>
          <w:sz w:val="23"/>
          <w:szCs w:val="23"/>
        </w:rPr>
        <w:t xml:space="preserve">Росэлторг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»</w:t>
      </w:r>
      <w:r>
        <w:rPr>
          <w:rFonts w:ascii="Times New Roman" w:hAnsi="Times New Roman" w:eastAsia="Times New Roman" w:cs="Times New Roman"/>
          <w:iCs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1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51"/>
        <w:numPr>
          <w:ilvl w:val="0"/>
          <w:numId w:val="3"/>
        </w:numPr>
        <w:ind w:left="0" w:firstLine="0"/>
        <w:spacing w:before="0" w:beforeAutospacing="0" w:after="0" w:afterAutospacing="0"/>
        <w:tabs>
          <w:tab w:val="left" w:pos="284" w:leader="none"/>
          <w:tab w:val="left" w:pos="127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none"/>
        </w:rPr>
        <w:t xml:space="preserve">О переносе сроков.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1"/>
        <w:numPr>
          <w:ilvl w:val="0"/>
          <w:numId w:val="3"/>
        </w:numPr>
        <w:ind w:left="0" w:firstLine="0"/>
        <w:spacing w:before="0" w:beforeAutospacing="0" w:after="0" w:afterAutospacing="0"/>
        <w:tabs>
          <w:tab w:val="left" w:pos="284" w:leader="none"/>
          <w:tab w:val="left" w:pos="127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О признании 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проведения </w:t>
      </w:r>
      <w:r>
        <w:rPr>
          <w:rFonts w:ascii="Times New Roman" w:hAnsi="Times New Roman" w:eastAsia="Times New Roman" w:cs="Times New Roman"/>
          <w:sz w:val="23"/>
          <w:szCs w:val="23"/>
          <w:lang w:val="ru-RU"/>
        </w:rPr>
        <w:t xml:space="preserve">проц</w:t>
      </w:r>
      <w:r>
        <w:rPr>
          <w:rFonts w:ascii="Times New Roman" w:hAnsi="Times New Roman" w:eastAsia="Times New Roman" w:cs="Times New Roman"/>
          <w:sz w:val="23"/>
          <w:szCs w:val="23"/>
          <w:lang w:val="ru-RU"/>
        </w:rPr>
        <w:t xml:space="preserve">едуры переторжки состоявшейся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94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О 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рассмотрении экспертн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lang w:val="ru-RU"/>
        </w:rPr>
        <w:t xml:space="preserve">ых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 заключени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lang w:val="ru-RU"/>
        </w:rPr>
        <w:t xml:space="preserve">й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 и принятии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lang w:val="ru-RU"/>
        </w:rPr>
        <w:t xml:space="preserve">их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 к сведению.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94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О признании заявок участников соответствующими </w:t>
      </w: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  <w:t xml:space="preserve">условиям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lang w:val="ru-RU"/>
        </w:rPr>
        <w:t xml:space="preserve">запроса предложений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 в электронной форме по результатам рассмотрения ценовых предложений заявок.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94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оценки заявок участни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ков по оценочным критериям и итогового ранжира заявок участников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94"/>
        <w:numPr>
          <w:ilvl w:val="0"/>
          <w:numId w:val="3"/>
        </w:numPr>
        <w:contextualSpacing/>
        <w:ind w:left="0" w:firstLine="0"/>
        <w:jc w:val="both"/>
        <w:spacing w:before="0" w:beforeAutospacing="0" w:after="0" w:afterAutospacing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О выборе победителя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51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.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51"/>
        <w:numPr>
          <w:ilvl w:val="0"/>
          <w:numId w:val="6"/>
        </w:numPr>
        <w:ind w:left="0" w:firstLine="0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о проведении </w:t>
      </w:r>
      <w:r>
        <w:rPr>
          <w:rFonts w:ascii="Times New Roman" w:hAnsi="Times New Roman" w:eastAsia="Times New Roman" w:cs="Times New Roman"/>
          <w:sz w:val="23"/>
          <w:szCs w:val="23"/>
          <w:lang w:val="ru-RU"/>
        </w:rPr>
        <w:t xml:space="preserve">запроса предложений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от 07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.11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</w:rPr>
        <w:t xml:space="preserve">32515379492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, опубликовано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separate"/>
      </w:r>
      <w:r>
        <w:rPr>
          <w:rStyle w:val="949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Style w:val="949"/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ЭТП «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lang w:val="ru-RU"/>
        </w:rPr>
        <w:t xml:space="preserve">Росэлторг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(</w:t>
      </w:r>
      <w:r>
        <w:rPr>
          <w:rStyle w:val="949"/>
          <w:rFonts w:ascii="Times New Roman" w:hAnsi="Times New Roman" w:eastAsia="Times New Roman" w:cs="Times New Roman"/>
          <w:sz w:val="23"/>
          <w:szCs w:val="23"/>
        </w:rPr>
        <w:fldChar w:fldCharType="begin"/>
      </w:r>
      <w:r>
        <w:rPr>
          <w:rStyle w:val="949"/>
          <w:rFonts w:ascii="Times New Roman" w:hAnsi="Times New Roman" w:eastAsia="Times New Roman" w:cs="Times New Roman"/>
          <w:sz w:val="23"/>
          <w:szCs w:val="23"/>
        </w:rPr>
        <w:instrText xml:space="preserve"> HYPERLINK "http://www.roseltorg.ru" </w:instrText>
      </w:r>
      <w:r>
        <w:rPr>
          <w:rStyle w:val="949"/>
          <w:rFonts w:ascii="Times New Roman" w:hAnsi="Times New Roman" w:eastAsia="Times New Roman" w:cs="Times New Roman"/>
          <w:sz w:val="23"/>
          <w:szCs w:val="23"/>
        </w:rPr>
        <w:fldChar w:fldCharType="separate"/>
      </w:r>
      <w:r>
        <w:rPr>
          <w:rStyle w:val="949"/>
          <w:rFonts w:ascii="Times New Roman" w:hAnsi="Times New Roman" w:eastAsia="Times New Roman" w:cs="Times New Roman"/>
          <w:sz w:val="23"/>
          <w:szCs w:val="23"/>
        </w:rPr>
        <w:t xml:space="preserve">http://www.roseltorg.ru</w:t>
      </w:r>
      <w:r>
        <w:rPr>
          <w:rStyle w:val="949"/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900" w:type="pct"/>
        <w:jc w:val="center"/>
        <w:tblInd w:w="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4376"/>
        <w:gridCol w:w="2469"/>
        <w:gridCol w:w="33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8"/>
        </w:trPr>
        <w:tc>
          <w:tcPr>
            <w:tcW w:w="4376" w:type="dxa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469" w:type="dxa"/>
            <w:vAlign w:val="top"/>
            <w:textDirection w:val="lrTb"/>
            <w:noWrap w:val="false"/>
          </w:tcPr>
          <w:p>
            <w:pPr>
              <w:pStyle w:val="951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368" w:type="dxa"/>
            <w:vAlign w:val="top"/>
            <w:textDirection w:val="lrTb"/>
            <w:noWrap w:val="false"/>
          </w:tcPr>
          <w:p>
            <w:pPr>
              <w:pStyle w:val="951"/>
              <w:jc w:val="center"/>
              <w:spacing w:before="0" w:beforeAutospacing="0" w:after="0" w:afterAutospacing="0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lang w:eastAsia="ru-RU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4376" w:type="dxa"/>
            <w:vAlign w:val="top"/>
            <w:textDirection w:val="lrTb"/>
            <w:noWrap w:val="false"/>
          </w:tcPr>
          <w:p>
            <w:pPr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bCs/>
                <w:i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</w:rPr>
              <w:t xml:space="preserve">заключения договора на поставку приводов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3"/>
                <w:szCs w:val="23"/>
              </w:rPr>
            </w:r>
          </w:p>
        </w:tc>
        <w:tc>
          <w:tcPr>
            <w:tcW w:w="2469" w:type="dxa"/>
            <w:vAlign w:val="top"/>
            <w:textDirection w:val="lrTb"/>
            <w:noWrap w:val="false"/>
          </w:tcPr>
          <w:p>
            <w:pPr>
              <w:pStyle w:val="1008"/>
              <w:jc w:val="center"/>
              <w:spacing w:before="0" w:beforeAutospacing="0" w:after="0" w:afterAutospacing="0" w:line="240" w:lineRule="auto"/>
              <w:tabs>
                <w:tab w:val="left" w:pos="1543" w:leader="none"/>
              </w:tabs>
              <w:rPr>
                <w:rFonts w:ascii="Times New Roman" w:hAnsi="Times New Roman" w:cs="Times New Roman"/>
                <w:i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Cs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iCs/>
                <w:sz w:val="23"/>
                <w:szCs w:val="23"/>
              </w:rPr>
              <w:t xml:space="preserve">11 302 800,00</w:t>
            </w:r>
            <w:r>
              <w:rPr>
                <w:rFonts w:ascii="Times New Roman" w:hAnsi="Times New Roman" w:eastAsia="Times New Roman" w:cs="Times New Roman"/>
                <w:iCs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Cs/>
                <w:sz w:val="23"/>
                <w:szCs w:val="23"/>
              </w:rPr>
              <w:t xml:space="preserve">руб. с НДС</w:t>
            </w:r>
            <w:r>
              <w:rPr>
                <w:rFonts w:ascii="Times New Roman" w:hAnsi="Times New Roman" w:cs="Times New Roman"/>
                <w:i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iCs/>
                <w:sz w:val="23"/>
                <w:szCs w:val="23"/>
              </w:rPr>
            </w:r>
          </w:p>
        </w:tc>
        <w:tc>
          <w:tcPr>
            <w:tcW w:w="3368" w:type="dxa"/>
            <w:vAlign w:val="top"/>
            <w:textDirection w:val="lrTb"/>
            <w:noWrap w:val="false"/>
          </w:tcPr>
          <w:p>
            <w:pPr>
              <w:pStyle w:val="1008"/>
              <w:jc w:val="both"/>
              <w:spacing w:before="0" w:beforeAutospacing="0" w:after="0" w:afterAutospacing="0" w:line="240" w:lineRule="auto"/>
              <w:tabs>
                <w:tab w:val="left" w:pos="1543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Поставка Товара осуществляется партиями Поставщиком Покупателю в соответствии со Спецификацией: 1 партия - в течение 45-60 календарных дней, 2 партия – в течение 112-140 календарных дней с момента подписания договора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.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51"/>
        <w:numPr>
          <w:ilvl w:val="0"/>
          <w:numId w:val="6"/>
        </w:numPr>
        <w:ind w:left="0" w:firstLine="0"/>
        <w:spacing w:before="0" w:beforeAutospacing="0" w:after="0" w:afterAutospacing="0"/>
        <w:tabs>
          <w:tab w:val="left" w:pos="142" w:leader="none"/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окончания срока подачи заявок 26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.11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202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г. 1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ковское) на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ЕЭТП «Росэлторг»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был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3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(три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)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val="ru-RU"/>
        </w:rPr>
        <w:t xml:space="preserve">ов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280" w:type="dxa"/>
        <w:tblInd w:w="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495"/>
        <w:gridCol w:w="39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5495" w:type="dxa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 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935" w:type="dxa"/>
            <w:vAlign w:val="center"/>
            <w:textDirection w:val="lrTb"/>
            <w:noWrap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1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5495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ТРАНСКОМПЛЕКТМОНТАЖ-ИНЖИНИРИНГ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3935" w:type="dxa"/>
            <w:vAlign w:val="center"/>
            <w:textDirection w:val="lrTb"/>
            <w:noWrap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25.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.202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:53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 (МСК)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5495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ВИРАЖТРАНС-ЭНЕРГО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3935" w:type="dxa"/>
            <w:vAlign w:val="center"/>
            <w:textDirection w:val="lrTb"/>
            <w:noWrap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26.11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.2025 09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:36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 (МСК)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3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5495" w:type="dxa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ЭТЗ «СИЛЕКТРА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3935" w:type="dxa"/>
            <w:vAlign w:val="center"/>
            <w:textDirection w:val="lrTb"/>
            <w:noWrap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25.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.2025 16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:42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 (МСК)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</w:tr>
    </w:tbl>
    <w:p>
      <w:pPr>
        <w:pStyle w:val="951"/>
        <w:numPr>
          <w:ilvl w:val="0"/>
          <w:numId w:val="2"/>
        </w:numPr>
        <w:ind w:left="0" w:firstLine="0"/>
        <w:spacing w:before="0" w:beforeAutospacing="0" w:after="0" w:afterAutospacing="0"/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Результаты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рассмотрения заяв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к Участник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ОВ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1001"/>
        <w:numPr>
          <w:ilvl w:val="0"/>
          <w:numId w:val="8"/>
        </w:numPr>
        <w:ind w:left="0" w:firstLine="0"/>
        <w:jc w:val="both"/>
        <w:spacing w:before="0" w:beforeAutospacing="0" w:after="0" w:afterAutospacing="0" w:line="240" w:lineRule="auto"/>
        <w:tabs>
          <w:tab w:val="left" w:pos="426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Постоянно действующая закупочная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комиссия рассмотрела заявк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ов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закупки на соответствие требованиям, установленным в документации о закупке, и приняла решение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4931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711"/>
        <w:gridCol w:w="3303"/>
        <w:gridCol w:w="1787"/>
        <w:gridCol w:w="44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50"/>
          <w:tblHeader/>
        </w:trPr>
        <w:tc>
          <w:tcPr>
            <w:tcW w:w="71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</w:tc>
        <w:tc>
          <w:tcPr>
            <w:tcW w:w="3303" w:type="dxa"/>
            <w:vAlign w:val="center"/>
            <w:textDirection w:val="lrTb"/>
            <w:noWrap w:val="false"/>
          </w:tcPr>
          <w:p>
            <w:pPr>
              <w:pStyle w:val="948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 w:val="0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bCs/>
                <w:sz w:val="23"/>
                <w:szCs w:val="23"/>
              </w:rPr>
            </w:r>
          </w:p>
        </w:tc>
        <w:tc>
          <w:tcPr>
            <w:tcW w:w="1787" w:type="dxa"/>
            <w:vAlign w:val="center"/>
            <w:textDirection w:val="lrTb"/>
            <w:noWrap w:val="false"/>
          </w:tcPr>
          <w:p>
            <w:pPr>
              <w:pStyle w:val="948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3"/>
                <w:szCs w:val="23"/>
              </w:rPr>
              <w:t xml:space="preserve">Принятое решение</w:t>
            </w:r>
            <w:r>
              <w:rPr>
                <w:rFonts w:ascii="Times New Roman" w:hAnsi="Times New Roman" w:cs="Times New Roman"/>
                <w:b w:val="0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bCs/>
                <w:sz w:val="23"/>
                <w:szCs w:val="23"/>
              </w:rPr>
            </w:r>
          </w:p>
        </w:tc>
        <w:tc>
          <w:tcPr>
            <w:tcW w:w="4477" w:type="dxa"/>
            <w:vAlign w:val="center"/>
            <w:textDirection w:val="lrTb"/>
            <w:noWrap w:val="false"/>
          </w:tcPr>
          <w:p>
            <w:pPr>
              <w:pStyle w:val="948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sz w:val="23"/>
                <w:szCs w:val="23"/>
              </w:rPr>
              <w:t xml:space="preserve">Основание для отклонения заявки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56"/>
        </w:trPr>
        <w:tc>
          <w:tcPr>
            <w:tcW w:w="71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1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303" w:type="dxa"/>
            <w:vAlign w:val="top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ТРАНСКОМПЛЕКТМОН-ТАЖ-ИНЖИНИРИНГ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1787" w:type="dxa"/>
            <w:vAlign w:val="top"/>
            <w:textDirection w:val="lrTb"/>
            <w:noWrap w:val="false"/>
          </w:tcPr>
          <w:p>
            <w:pPr>
              <w:pStyle w:val="969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Соответствует, допустить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77" w:type="dxa"/>
            <w:vAlign w:val="center"/>
            <w:textDirection w:val="lrTb"/>
            <w:noWrap w:val="false"/>
          </w:tcPr>
          <w:p>
            <w:pPr>
              <w:pStyle w:val="969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-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56"/>
        </w:trPr>
        <w:tc>
          <w:tcPr>
            <w:tcW w:w="71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303" w:type="dxa"/>
            <w:vAlign w:val="top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ВИРАЖТРАНС-ЭНЕРГО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1787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Соответствует, допустить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77" w:type="dxa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-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56"/>
        </w:trPr>
        <w:tc>
          <w:tcPr>
            <w:tcW w:w="711" w:type="dxa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3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303" w:type="dxa"/>
            <w:vAlign w:val="top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ЭТЗ «СИЛЕКТРА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 w:val="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 w:val="0"/>
                <w:sz w:val="23"/>
                <w:szCs w:val="23"/>
              </w:rPr>
            </w:r>
          </w:p>
        </w:tc>
        <w:tc>
          <w:tcPr>
            <w:tcW w:w="1787" w:type="dxa"/>
            <w:vAlign w:val="top"/>
            <w:textDirection w:val="lrTb"/>
            <w:noWrap w:val="false"/>
          </w:tcPr>
          <w:p>
            <w:pPr>
              <w:pStyle w:val="969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Не соответствует, отклонить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77" w:type="dxa"/>
            <w:vAlign w:val="center"/>
            <w:textDirection w:val="lrTb"/>
            <w:noWrap w:val="false"/>
          </w:tcPr>
          <w:p>
            <w:pPr>
              <w:pStyle w:val="969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. Предлагаемый привод имеет в конструкции переходник надшкафного исполнения, при этом требуется привод без переходника, что не соответствует п.1 Спецификации и требованиям к закупаемой продукции (Приложение №1 к Документации о закупке). 2. Участник предлаг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ет кабельные вводы в нижней плите привода Хуамин 2хМ20, 2хМ25, 2хМ50, согласно опросному листу требуется 2хМ25, 2хМ40, что не соответствует п.8 Спецификации и требованиям к закупаемой продукции согласно опросному листу. 3. Не указано в опросном листе расст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яние между отверстиями шины для крепления к трансформатору, что не соответствует п.8 Спецификации и требованиям к закупаемой продукции (Приложение №1 к Документации о закупке)); 4. В техническом предложении не указан срок службы, страна и наименование изго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овителя, что не соответствует п.7 Инструкции по заполнению формы 3 «Техническое предложение», п. 3.1.9. Документации о закупке. 5. В Техническом предложении не представлена таблица соответствия своего предложения техническим требованиям, что не соответству</w:t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  <w:highlight w:val="white"/>
              </w:rPr>
              <w:t xml:space="preserve">ет требованию п.6 Инструкции по заполнению формы 3 «Техническое предложение», п. 3.1.9. Документации о закупке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3"/>
                <w:szCs w:val="23"/>
                <w:highlight w:val="white"/>
              </w:rPr>
              <w:t xml:space="preserve">.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</w:tbl>
    <w:p>
      <w:pPr>
        <w:pStyle w:val="951"/>
        <w:numPr>
          <w:ilvl w:val="0"/>
          <w:numId w:val="2"/>
        </w:numPr>
        <w:ind w:left="0" w:firstLine="0"/>
        <w:spacing w:before="0" w:beforeAutospacing="0" w:after="0" w:afterAutospacing="0"/>
        <w:tabs>
          <w:tab w:val="left" w:pos="709" w:leader="none"/>
        </w:tabs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sz w:val="23"/>
          <w:szCs w:val="23"/>
        </w:rPr>
      </w:r>
      <w:r>
        <w:rPr>
          <w:rFonts w:ascii="Times New Roman" w:hAnsi="Times New Roman" w:cs="Times New Roman"/>
          <w:b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1. Перенести срок подведения итогов на 15.12.2025г.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94"/>
        <w:ind w:left="0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69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9"/>
        <w:jc w:val="both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4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2. Признать проведение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проц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едуры переторжки состоявш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ей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ся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94"/>
        <w:ind w:left="0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  <w:t xml:space="preserve">3.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Принять к сведению мнение эксперта.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b/>
          <w:i/>
          <w:color w:val="ff0000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ff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ff0000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i/>
          <w:sz w:val="23"/>
          <w:szCs w:val="23"/>
        </w:rPr>
        <w:t xml:space="preserve">.</w:t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34"/>
        <w:ind w:left="0" w:firstLine="0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4. Признать</w:t>
      </w: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заявки </w:t>
      </w:r>
      <w:r>
        <w:rPr>
          <w:rFonts w:ascii="Times New Roman" w:hAnsi="Times New Roman" w:eastAsia="Times New Roman" w:cs="Times New Roman"/>
          <w:b w:val="0"/>
          <w:sz w:val="23"/>
          <w:szCs w:val="23"/>
        </w:rPr>
        <w:t xml:space="preserve">ООО «ТРАНСКОМПЛЕКТМОНТАЖ-ИНЖИНИРИНГ»</w:t>
      </w:r>
      <w:r>
        <w:rPr>
          <w:rFonts w:ascii="Times New Roman" w:hAnsi="Times New Roman" w:eastAsia="Times New Roman" w:cs="Times New Roman"/>
          <w:b w:val="0"/>
          <w:sz w:val="23"/>
          <w:szCs w:val="23"/>
        </w:rPr>
        <w:t xml:space="preserve"> и                                      </w:t>
      </w:r>
      <w:r>
        <w:rPr>
          <w:rFonts w:ascii="Times New Roman" w:hAnsi="Times New Roman" w:eastAsia="Times New Roman" w:cs="Times New Roman"/>
          <w:b w:val="0"/>
          <w:sz w:val="23"/>
          <w:szCs w:val="23"/>
        </w:rPr>
        <w:t xml:space="preserve">ООО «ВИРАЖТРАНС-ЭНЕРГО»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соответствующими</w:t>
      </w: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  <w:t xml:space="preserve"> условиям 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запроса предложений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 в электронной форме по результатам рассмотрения ценовых предложений з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явок.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34"/>
        <w:ind w:left="0" w:firstLine="0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</w:rPr>
      </w:r>
    </w:p>
    <w:tbl>
      <w:tblPr>
        <w:tblW w:w="4896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3118"/>
        <w:gridCol w:w="1988"/>
        <w:gridCol w:w="1884"/>
        <w:gridCol w:w="1792"/>
        <w:gridCol w:w="14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01"/>
          <w:tblHeader/>
        </w:trPr>
        <w:tc>
          <w:tcPr>
            <w:tcW w:w="1528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74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Ценовое предлож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ние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23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Предлож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ние о цене договора, пода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ное в ходе пер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торжки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878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Принятое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шение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697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Осн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вание для отклонения з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явки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87"/>
        </w:trPr>
        <w:tc>
          <w:tcPr>
            <w:tcW w:w="1528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«ТРАНСКОМПЛЕКТМОНТАЖ-ИНЖИНИРИНГ»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974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11 302 800,00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руб. с НДС 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23" w:type="pct"/>
            <w:vAlign w:val="top"/>
            <w:textDirection w:val="lrTb"/>
            <w:noWrap w:val="false"/>
          </w:tcPr>
          <w:p>
            <w:pPr>
              <w:pStyle w:val="969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11 293 800,00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руб. с НДС 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878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Соотве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ствует,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пустить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7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-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27"/>
        </w:trPr>
        <w:tc>
          <w:tcPr>
            <w:tcW w:w="1528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«ВИРАЖТРАНС-ЭНЕРГО»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974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11 302 800,00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руб. с НДС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23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11 245 800,00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 руб. с НДС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878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Соотве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ствует,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пустить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7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  <w:outlineLvl w:val="0"/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-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</w:tbl>
    <w:p>
      <w:pPr>
        <w:pStyle w:val="934"/>
        <w:jc w:val="both"/>
        <w:spacing w:before="0" w:beforeAutospacing="0" w:after="0" w:afterAutospacing="0"/>
        <w:tabs>
          <w:tab w:val="left" w:pos="426" w:leader="none"/>
          <w:tab w:val="left" w:pos="567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34"/>
        <w:ind w:left="0" w:firstLine="0"/>
        <w:jc w:val="both"/>
        <w:spacing w:before="0" w:beforeAutospacing="0" w:after="0" w:afterAutospacing="0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</w:rPr>
        <w:t xml:space="preserve">5. Одобрить оценку заявок участников по оценочным критериям и итоговый ранжир: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tbl>
      <w:tblPr>
        <w:tblW w:w="4896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408"/>
        <w:gridCol w:w="2590"/>
        <w:gridCol w:w="2155"/>
        <w:gridCol w:w="1870"/>
        <w:gridCol w:w="11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2"/>
        </w:trPr>
        <w:tc>
          <w:tcPr>
            <w:tcW w:w="1180" w:type="pct"/>
            <w:vAlign w:val="center"/>
            <w:vMerge w:val="restart"/>
            <w:textDirection w:val="lrTb"/>
            <w:noWrap w:val="false"/>
          </w:tcPr>
          <w:p>
            <w:pPr>
              <w:pStyle w:val="934"/>
              <w:jc w:val="center"/>
              <w:keepNext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  <w:p>
            <w:pPr>
              <w:pStyle w:val="934"/>
              <w:jc w:val="center"/>
              <w:keepNext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gridSpan w:val="2"/>
            <w:tcW w:w="2325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keepNext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Наименование критериев оценки, балл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  <w:p>
            <w:pPr>
              <w:pStyle w:val="934"/>
              <w:jc w:val="center"/>
              <w:keepNext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(с учетом весовых коэффициентов)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16" w:type="pct"/>
            <w:vAlign w:val="top"/>
            <w:vMerge w:val="restart"/>
            <w:textDirection w:val="lrTb"/>
            <w:noWrap w:val="false"/>
          </w:tcPr>
          <w:p>
            <w:pPr>
              <w:pStyle w:val="934"/>
              <w:jc w:val="center"/>
              <w:keepNext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Итоговый балл с учетом весовых коэффициентов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579" w:type="pct"/>
            <w:vAlign w:val="top"/>
            <w:vMerge w:val="restart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Место в итоговом ранжире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3"/>
        </w:trPr>
        <w:tc>
          <w:tcPr>
            <w:tcW w:w="1180" w:type="pct"/>
            <w:vAlign w:val="center"/>
            <w:vMerge w:val="continue"/>
            <w:textDirection w:val="lrTb"/>
            <w:noWrap w:val="false"/>
          </w:tcPr>
          <w:p>
            <w:pPr>
              <w:pStyle w:val="934"/>
              <w:jc w:val="center"/>
              <w:widowControl w:val="off"/>
              <w:tabs>
                <w:tab w:val="left" w:pos="0" w:leader="none"/>
                <w:tab w:val="left" w:pos="567" w:leader="none"/>
              </w:tabs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1269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заявки (рейтинг по критерию стоимости)  (0,80)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1056" w:type="pct"/>
            <w:vAlign w:val="top"/>
            <w:textDirection w:val="lrTb"/>
            <w:noWrap w:val="false"/>
          </w:tcPr>
          <w:p>
            <w:pPr>
              <w:pStyle w:val="934"/>
              <w:jc w:val="center"/>
              <w:keepNext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  <w:lang w:val="en-US" w:eastAsia="ar-SA"/>
              </w:rPr>
              <w:t xml:space="preserve">Опыт выполнения аналогичных поставок (0,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  <w:lang w:eastAsia="ar-S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  <w:lang w:val="en-US" w:eastAsia="ar-SA"/>
              </w:rPr>
              <w:t xml:space="preserve">0)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16" w:type="pct"/>
            <w:vAlign w:val="top"/>
            <w:vMerge w:val="continue"/>
            <w:textDirection w:val="lrTb"/>
            <w:noWrap w:val="false"/>
          </w:tcPr>
          <w:p>
            <w:pPr>
              <w:pStyle w:val="934"/>
              <w:jc w:val="center"/>
              <w:widowControl w:val="off"/>
              <w:tabs>
                <w:tab w:val="left" w:pos="567" w:leader="none"/>
              </w:tabs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W w:w="579" w:type="pct"/>
            <w:vAlign w:val="center"/>
            <w:vMerge w:val="continue"/>
            <w:textDirection w:val="lrTb"/>
            <w:noWrap w:val="false"/>
          </w:tcPr>
          <w:p>
            <w:pPr>
              <w:pStyle w:val="934"/>
              <w:jc w:val="center"/>
              <w:keepNext/>
              <w:widowControl w:val="off"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/>
        <w:trPr>
          <w:trHeight w:val="178"/>
        </w:trPr>
        <w:tc>
          <w:tcPr>
            <w:tcW w:w="1180" w:type="pct"/>
            <w:vAlign w:val="center"/>
            <w:vMerge w:val="restart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3"/>
                <w:szCs w:val="23"/>
              </w:rPr>
              <w:t xml:space="preserve">ООО «ВИРАЖТРАНС-ЭНЕРГО»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1269" w:type="pct"/>
            <w:vAlign w:val="center"/>
            <w:vMerge w:val="restart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tabs>
                <w:tab w:val="left" w:pos="567" w:leader="none"/>
              </w:tabs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0,40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1056" w:type="pct"/>
            <w:vAlign w:val="center"/>
            <w:vMerge w:val="restart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tabs>
                <w:tab w:val="left" w:pos="567" w:leader="none"/>
              </w:tabs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0,00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16" w:type="pct"/>
            <w:vAlign w:val="center"/>
            <w:vMerge w:val="restart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0,40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579" w:type="pct"/>
            <w:vAlign w:val="center"/>
            <w:vMerge w:val="restart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tabs>
                <w:tab w:val="left" w:pos="567" w:leader="none"/>
              </w:tabs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74"/>
        </w:trPr>
        <w:tc>
          <w:tcPr>
            <w:tcW w:w="1180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ООО «ТРАНСКОМПЛЕКТМОНТАЖ-ИНЖИНИРИНГ»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1269" w:type="pct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0,06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1056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tabs>
                <w:tab w:val="left" w:pos="567" w:leader="none"/>
              </w:tabs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0,00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W w:w="916" w:type="pct"/>
            <w:vAlign w:val="center"/>
            <w:textDirection w:val="lrTb"/>
            <w:noWrap w:val="false"/>
          </w:tcPr>
          <w:p>
            <w:pPr>
              <w:jc w:val="center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0,06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579" w:type="pct"/>
            <w:vAlign w:val="center"/>
            <w:textDirection w:val="lrTb"/>
            <w:noWrap w:val="false"/>
          </w:tcPr>
          <w:p>
            <w:pPr>
              <w:pStyle w:val="934"/>
              <w:jc w:val="center"/>
              <w:spacing w:before="0" w:beforeAutospacing="0" w:after="0" w:afterAutospacing="0"/>
              <w:widowControl w:val="off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</w:tr>
    </w:tbl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9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6. Признать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победителем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ООО «ВИРАЖТРАНС-ЭНЕРГО»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, занявшего первое место по резул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ь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татам итогового ранжира,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Cs/>
          <w:color w:val="000000"/>
          <w:sz w:val="23"/>
          <w:szCs w:val="23"/>
        </w:rPr>
        <w:t xml:space="preserve">на условиях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 извещения, документации о закупке и заявки.</w:t>
      </w:r>
      <w:r>
        <w:rPr>
          <w:rFonts w:ascii="Times New Roman" w:hAnsi="Times New Roman" w:eastAsia="Times New Roman" w:cs="Times New Roman"/>
          <w:iCs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tabs>
          <w:tab w:val="left" w:pos="283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ind w:left="0" w:right="0" w:firstLine="0"/>
        <w:jc w:val="both"/>
        <w:spacing w:before="0" w:beforeAutospacing="0" w:after="0" w:afterAutospacing="0"/>
        <w:rPr>
          <w:color w:val="000000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(</w:t>
      </w:r>
      <w:r>
        <w:rPr>
          <w:b w:val="0"/>
          <w:bCs w:val="0"/>
          <w:color w:val="000000"/>
          <w:sz w:val="23"/>
          <w:szCs w:val="23"/>
        </w:rPr>
        <w:t xml:space="preserve">В.А. Коржаневский, </w:t>
      </w:r>
      <w:r>
        <w:rPr>
          <w:b w:val="0"/>
          <w:bCs w:val="0"/>
          <w:color w:val="000000"/>
          <w:sz w:val="23"/>
          <w:szCs w:val="23"/>
        </w:rPr>
        <w:t xml:space="preserve">О.Ф. Нищук, </w:t>
      </w:r>
      <w:r>
        <w:rPr>
          <w:b w:val="0"/>
          <w:bCs w:val="0"/>
          <w:color w:val="000000"/>
          <w:sz w:val="23"/>
          <w:szCs w:val="23"/>
        </w:rPr>
        <w:t xml:space="preserve">С.С. Шевченко, А.А. Часов, О.В. Бабак)</w:t>
      </w:r>
      <w:r>
        <w:rPr>
          <w:color w:val="000000"/>
          <w:sz w:val="23"/>
          <w:szCs w:val="23"/>
        </w:rPr>
      </w:r>
      <w:r>
        <w:rPr>
          <w:color w:val="000000"/>
          <w:sz w:val="23"/>
          <w:szCs w:val="23"/>
        </w:rPr>
      </w:r>
    </w:p>
    <w:p>
      <w:pPr>
        <w:pStyle w:val="969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1 голоса (-ов) (</w:t>
      </w:r>
      <w:r>
        <w:rPr>
          <w:b w:val="0"/>
          <w:bCs w:val="0"/>
          <w:color w:val="000000"/>
          <w:sz w:val="23"/>
          <w:szCs w:val="23"/>
        </w:rPr>
        <w:t xml:space="preserve">Д.А. Коновалов</w:t>
      </w:r>
      <w:r>
        <w:rPr>
          <w:b w:val="0"/>
          <w:bCs w:val="0"/>
          <w:color w:val="000000"/>
          <w:sz w:val="23"/>
          <w:szCs w:val="23"/>
        </w:rPr>
        <w:t xml:space="preserve">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дарта закупок ПАО «Россети» (Положение о закупке). При необходимости одобрения Общего собрания акционер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ов/Совета директоров/Правления П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АО «Россети Юг» в соответствии с законодател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ь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ством Российской Федерации заключения договора или в случае обжалования в антимонопольном 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р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гане либо в судебном порядке действий (бездействия) Заказчика, постоянно действующей закупочной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комиссии, оператора электронной площадки договор должен быть заключен после принятия соответствующего решения (одобрения, вынес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ния решения по жалобе, иску).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Разместить договор в Единой информационной системе в сфере закупок в течение трех рабочих дней со дня заключения.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принято.</w:t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3"/>
          <w:szCs w:val="23"/>
          <w:highlight w:val="none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759"/>
        <w:gridCol w:w="3090"/>
      </w:tblGrid>
      <w:tr>
        <w:tblPrEx/>
        <w:trPr>
          <w:tblCellSpacing w:w="15" w:type="dxa"/>
          <w:trHeight w:val="427"/>
        </w:trPr>
        <w:tc>
          <w:tcPr>
            <w:tcW w:w="3228" w:type="pct"/>
            <w:vAlign w:val="center"/>
            <w:textDirection w:val="lrTb"/>
            <w:noWrap w:val="false"/>
          </w:tcPr>
          <w:p>
            <w:pPr>
              <w:pStyle w:val="934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редседателя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ПДЗК: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pStyle w:val="934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0" w:type="pct"/>
            <w:vAlign w:val="bottom"/>
            <w:textDirection w:val="lrTb"/>
            <w:noWrap w:val="false"/>
          </w:tcPr>
          <w:p>
            <w:pPr>
              <w:pStyle w:val="934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8" w:type="pct"/>
            <w:vAlign w:val="center"/>
            <w:textDirection w:val="lrTb"/>
            <w:noWrap w:val="false"/>
          </w:tcPr>
          <w:p>
            <w:pPr>
              <w:pStyle w:val="934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</w:t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none"/>
              </w:rPr>
            </w:r>
          </w:p>
          <w:p>
            <w:pPr>
              <w:pStyle w:val="934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0" w:type="pct"/>
            <w:vAlign w:val="bottom"/>
            <w:textDirection w:val="lrTb"/>
            <w:noWrap w:val="false"/>
          </w:tcPr>
          <w:p>
            <w:pPr>
              <w:pStyle w:val="934"/>
              <w:jc w:val="both"/>
              <w:spacing w:before="0" w:beforeAutospacing="0" w:after="0" w:afterAutospacing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34"/>
        <w:jc w:val="both"/>
        <w:spacing w:before="0" w:beforeAutospacing="0" w:after="0" w:afterAutospacing="0"/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</w:p>
    <w:p>
      <w:pPr>
        <w:pStyle w:val="934"/>
        <w:jc w:val="both"/>
        <w:spacing w:before="0" w:beforeAutospacing="0" w:after="0" w:afterAutospacing="0"/>
        <w:rPr>
          <w:rFonts w:ascii="Times New Roman" w:hAnsi="Times New Roman" w:eastAsia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Е.В. Бармикова, (861) 212-25-66</w:t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sz w:val="23"/>
          <w:szCs w:val="23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7" w:right="709" w:bottom="992" w:left="992" w:header="0" w:footer="692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 CYR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4"/>
      <w:ind w:right="-2"/>
      <w:jc w:val="center"/>
      <w:widowControl w:val="off"/>
      <w:rPr>
        <w:b/>
        <w:bCs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</w:t>
    </w:r>
    <w:r>
      <w:rPr>
        <w:bCs/>
        <w:i/>
        <w:sz w:val="18"/>
        <w:szCs w:val="18"/>
      </w:rPr>
      <w:t xml:space="preserve"> </w:t>
    </w:r>
    <w:r>
      <w:rPr>
        <w:bCs/>
        <w:i/>
        <w:sz w:val="18"/>
        <w:szCs w:val="18"/>
      </w:rPr>
      <w:t xml:space="preserve">ПОСТОЯННО ДЕЙСТВУЮЩЕЙ ЗАКУПОЧНОЙ КОМИССИИ</w:t>
    </w:r>
    <w:r>
      <w:rPr>
        <w:bCs/>
        <w:i/>
        <w:sz w:val="18"/>
        <w:szCs w:val="18"/>
      </w:rPr>
      <w:t xml:space="preserve"> № </w:t>
    </w:r>
    <w:r>
      <w:rPr>
        <w:bCs/>
        <w:i/>
        <w:sz w:val="18"/>
        <w:szCs w:val="18"/>
      </w:rPr>
      <w:t xml:space="preserve">32515379492</w:t>
    </w:r>
    <w:r>
      <w:rPr>
        <w:bCs/>
        <w:i/>
        <w:sz w:val="18"/>
        <w:szCs w:val="18"/>
      </w:rPr>
      <w:t xml:space="preserve">/2</w:t>
    </w:r>
    <w:r>
      <w:rPr>
        <w:b/>
        <w:bCs/>
        <w:i/>
        <w:iCs/>
        <w:sz w:val="18"/>
        <w:szCs w:val="18"/>
      </w:rPr>
    </w:r>
    <w:r>
      <w:rPr>
        <w:b/>
        <w:bCs/>
        <w:i/>
        <w:iCs/>
        <w:sz w:val="18"/>
        <w:szCs w:val="18"/>
      </w:rPr>
    </w:r>
  </w:p>
  <w:p>
    <w:pPr>
      <w:pStyle w:val="786"/>
      <w:jc w:val="right"/>
      <w:rPr>
        <w:lang w:val="ru-RU"/>
      </w:rPr>
    </w:pPr>
    <w:r>
      <w:rPr>
        <w:b w:val="0"/>
        <w:i/>
        <w:sz w:val="16"/>
        <w:szCs w:val="16"/>
      </w:rPr>
      <w:t xml:space="preserve">Страница </w:t>
    </w:r>
    <w:r>
      <w:rPr>
        <w:b w:val="0"/>
        <w:i/>
        <w:sz w:val="16"/>
        <w:szCs w:val="16"/>
      </w:rPr>
      <w:fldChar w:fldCharType="begin"/>
    </w:r>
    <w:r>
      <w:rPr>
        <w:b w:val="0"/>
        <w:i/>
        <w:sz w:val="16"/>
        <w:szCs w:val="16"/>
      </w:rPr>
      <w:instrText xml:space="preserve">PAGE   \* MERGEFORMAT</w:instrText>
    </w:r>
    <w:r>
      <w:rPr>
        <w:b w:val="0"/>
        <w:i/>
        <w:iCs/>
        <w:sz w:val="16"/>
        <w:szCs w:val="16"/>
      </w:rPr>
      <w:fldChar w:fldCharType="separate"/>
    </w:r>
    <w:r>
      <w:rPr>
        <w:b w:val="0"/>
        <w:i/>
        <w:iCs/>
        <w:sz w:val="16"/>
        <w:szCs w:val="16"/>
      </w:rPr>
      <w:t xml:space="preserve">3</w:t>
    </w:r>
    <w:r>
      <w:rPr>
        <w:b w:val="0"/>
        <w:i/>
        <w:iCs/>
        <w:sz w:val="16"/>
        <w:szCs w:val="16"/>
      </w:rPr>
      <w:fldChar w:fldCharType="end"/>
    </w:r>
    <w:r>
      <w:rPr>
        <w:b w:val="0"/>
        <w:i/>
        <w:iCs/>
        <w:sz w:val="16"/>
        <w:szCs w:val="16"/>
      </w:rPr>
      <w:t xml:space="preserve"> из</w:t>
    </w:r>
    <w:r>
      <w:rPr>
        <w:i/>
        <w:iCs/>
        <w:sz w:val="16"/>
        <w:szCs w:val="16"/>
        <w:lang w:val="ru-RU"/>
      </w:rPr>
      <w:t xml:space="preserve">3</w:t>
    </w:r>
    <w:r>
      <w:rPr>
        <w:lang w:val="ru-RU"/>
      </w:rPr>
    </w:r>
    <w:r>
      <w:rPr>
        <w:lang w:val="ru-RU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8"/>
      <w:rPr>
        <w:rStyle w:val="957"/>
      </w:rPr>
      <w:framePr w:wrap="around" w:vAnchor="text" w:hAnchor="margin" w:xAlign="center" w:y="1"/>
    </w:pPr>
    <w:r>
      <w:rPr>
        <w:rStyle w:val="957"/>
      </w:rPr>
      <w:fldChar w:fldCharType="begin"/>
    </w:r>
    <w:r>
      <w:rPr>
        <w:rStyle w:val="957"/>
      </w:rPr>
      <w:instrText xml:space="preserve">PAGE  </w:instrText>
    </w:r>
    <w:r>
      <w:rPr>
        <w:rStyle w:val="957"/>
      </w:rPr>
      <w:fldChar w:fldCharType="end"/>
    </w:r>
    <w:r>
      <w:rPr>
        <w:rStyle w:val="957"/>
      </w:rPr>
    </w:r>
    <w:r>
      <w:rPr>
        <w:rStyle w:val="957"/>
      </w:rPr>
    </w:r>
  </w:p>
  <w:p>
    <w:pPr>
      <w:pStyle w:val="95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6"/>
      <w:rPr>
        <w:rStyle w:val="957"/>
      </w:rPr>
      <w:framePr w:wrap="around" w:vAnchor="text" w:hAnchor="margin" w:xAlign="right" w:y="1"/>
    </w:pPr>
    <w:r>
      <w:rPr>
        <w:rStyle w:val="957"/>
      </w:rPr>
      <w:fldChar w:fldCharType="begin"/>
    </w:r>
    <w:r>
      <w:rPr>
        <w:rStyle w:val="957"/>
      </w:rPr>
      <w:instrText xml:space="preserve">PAGE  </w:instrText>
    </w:r>
    <w:r>
      <w:rPr>
        <w:rStyle w:val="957"/>
      </w:rPr>
      <w:fldChar w:fldCharType="end"/>
    </w:r>
    <w:r>
      <w:rPr>
        <w:rStyle w:val="957"/>
      </w:rPr>
    </w:r>
    <w:r>
      <w:rPr>
        <w:rStyle w:val="957"/>
      </w:rPr>
    </w:r>
  </w:p>
  <w:p>
    <w:pPr>
      <w:pStyle w:val="956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76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6">
    <w:multiLevelType w:val="hybridMultilevel"/>
    <w:lvl w:ilvl="0">
      <w:start w:val="1"/>
      <w:numFmt w:val="decimal"/>
      <w:pStyle w:val="979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12"/>
  </w:num>
  <w:num w:numId="5">
    <w:abstractNumId w:val="1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8"/>
  </w:num>
  <w:num w:numId="11">
    <w:abstractNumId w:val="9"/>
  </w:num>
  <w:num w:numId="12">
    <w:abstractNumId w:val="11"/>
  </w:num>
  <w:num w:numId="13">
    <w:abstractNumId w:val="7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6">
    <w:name w:val="Heading 1"/>
    <w:basedOn w:val="969"/>
    <w:next w:val="969"/>
    <w:link w:val="7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7">
    <w:name w:val="Heading 1 Char"/>
    <w:link w:val="756"/>
    <w:uiPriority w:val="9"/>
    <w:rPr>
      <w:rFonts w:ascii="Arial" w:hAnsi="Arial" w:eastAsia="Arial" w:cs="Arial"/>
      <w:sz w:val="40"/>
      <w:szCs w:val="40"/>
    </w:rPr>
  </w:style>
  <w:style w:type="paragraph" w:styleId="758">
    <w:name w:val="Heading 2"/>
    <w:basedOn w:val="969"/>
    <w:next w:val="969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9">
    <w:name w:val="Heading 2 Char"/>
    <w:link w:val="758"/>
    <w:uiPriority w:val="9"/>
    <w:rPr>
      <w:rFonts w:ascii="Arial" w:hAnsi="Arial" w:eastAsia="Arial" w:cs="Arial"/>
      <w:sz w:val="34"/>
    </w:rPr>
  </w:style>
  <w:style w:type="paragraph" w:styleId="760">
    <w:name w:val="Heading 3"/>
    <w:basedOn w:val="969"/>
    <w:next w:val="969"/>
    <w:link w:val="7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1">
    <w:name w:val="Heading 3 Char"/>
    <w:link w:val="760"/>
    <w:uiPriority w:val="9"/>
    <w:rPr>
      <w:rFonts w:ascii="Arial" w:hAnsi="Arial" w:eastAsia="Arial" w:cs="Arial"/>
      <w:sz w:val="30"/>
      <w:szCs w:val="30"/>
    </w:rPr>
  </w:style>
  <w:style w:type="paragraph" w:styleId="762">
    <w:name w:val="Heading 4"/>
    <w:basedOn w:val="969"/>
    <w:next w:val="969"/>
    <w:link w:val="7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3">
    <w:name w:val="Heading 4 Char"/>
    <w:link w:val="762"/>
    <w:uiPriority w:val="9"/>
    <w:rPr>
      <w:rFonts w:ascii="Arial" w:hAnsi="Arial" w:eastAsia="Arial" w:cs="Arial"/>
      <w:b/>
      <w:bCs/>
      <w:sz w:val="26"/>
      <w:szCs w:val="26"/>
    </w:rPr>
  </w:style>
  <w:style w:type="paragraph" w:styleId="764">
    <w:name w:val="Heading 5"/>
    <w:basedOn w:val="969"/>
    <w:next w:val="969"/>
    <w:link w:val="7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5">
    <w:name w:val="Heading 5 Char"/>
    <w:link w:val="764"/>
    <w:uiPriority w:val="9"/>
    <w:rPr>
      <w:rFonts w:ascii="Arial" w:hAnsi="Arial" w:eastAsia="Arial" w:cs="Arial"/>
      <w:b/>
      <w:bCs/>
      <w:sz w:val="24"/>
      <w:szCs w:val="24"/>
    </w:rPr>
  </w:style>
  <w:style w:type="paragraph" w:styleId="766">
    <w:name w:val="Heading 6"/>
    <w:basedOn w:val="969"/>
    <w:next w:val="969"/>
    <w:link w:val="7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7">
    <w:name w:val="Heading 6 Char"/>
    <w:link w:val="766"/>
    <w:uiPriority w:val="9"/>
    <w:rPr>
      <w:rFonts w:ascii="Arial" w:hAnsi="Arial" w:eastAsia="Arial" w:cs="Arial"/>
      <w:b/>
      <w:bCs/>
      <w:sz w:val="22"/>
      <w:szCs w:val="22"/>
    </w:rPr>
  </w:style>
  <w:style w:type="paragraph" w:styleId="768">
    <w:name w:val="Heading 7"/>
    <w:basedOn w:val="969"/>
    <w:next w:val="969"/>
    <w:link w:val="7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9">
    <w:name w:val="Heading 7 Char"/>
    <w:link w:val="7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0">
    <w:name w:val="Heading 8"/>
    <w:basedOn w:val="969"/>
    <w:next w:val="969"/>
    <w:link w:val="7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1">
    <w:name w:val="Heading 8 Char"/>
    <w:link w:val="770"/>
    <w:uiPriority w:val="9"/>
    <w:rPr>
      <w:rFonts w:ascii="Arial" w:hAnsi="Arial" w:eastAsia="Arial" w:cs="Arial"/>
      <w:i/>
      <w:iCs/>
      <w:sz w:val="22"/>
      <w:szCs w:val="22"/>
    </w:rPr>
  </w:style>
  <w:style w:type="paragraph" w:styleId="772">
    <w:name w:val="Heading 9"/>
    <w:basedOn w:val="969"/>
    <w:next w:val="969"/>
    <w:link w:val="7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3">
    <w:name w:val="Heading 9 Char"/>
    <w:link w:val="772"/>
    <w:uiPriority w:val="9"/>
    <w:rPr>
      <w:rFonts w:ascii="Arial" w:hAnsi="Arial" w:eastAsia="Arial" w:cs="Arial"/>
      <w:i/>
      <w:iCs/>
      <w:sz w:val="21"/>
      <w:szCs w:val="21"/>
    </w:rPr>
  </w:style>
  <w:style w:type="paragraph" w:styleId="774">
    <w:name w:val="List Paragraph"/>
    <w:basedOn w:val="969"/>
    <w:uiPriority w:val="34"/>
    <w:qFormat/>
    <w:pPr>
      <w:contextualSpacing/>
      <w:ind w:left="720"/>
    </w:pPr>
  </w:style>
  <w:style w:type="paragraph" w:styleId="775">
    <w:name w:val="No Spacing"/>
    <w:uiPriority w:val="1"/>
    <w:qFormat/>
    <w:pPr>
      <w:spacing w:before="0" w:after="0" w:line="240" w:lineRule="auto"/>
    </w:pPr>
  </w:style>
  <w:style w:type="paragraph" w:styleId="776">
    <w:name w:val="Title"/>
    <w:basedOn w:val="969"/>
    <w:next w:val="969"/>
    <w:link w:val="7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7">
    <w:name w:val="Title Char"/>
    <w:link w:val="776"/>
    <w:uiPriority w:val="10"/>
    <w:rPr>
      <w:sz w:val="48"/>
      <w:szCs w:val="48"/>
    </w:rPr>
  </w:style>
  <w:style w:type="paragraph" w:styleId="778">
    <w:name w:val="Subtitle"/>
    <w:basedOn w:val="969"/>
    <w:next w:val="969"/>
    <w:link w:val="779"/>
    <w:uiPriority w:val="11"/>
    <w:qFormat/>
    <w:pPr>
      <w:spacing w:before="200" w:after="200"/>
    </w:pPr>
    <w:rPr>
      <w:sz w:val="24"/>
      <w:szCs w:val="24"/>
    </w:rPr>
  </w:style>
  <w:style w:type="character" w:styleId="779">
    <w:name w:val="Subtitle Char"/>
    <w:link w:val="778"/>
    <w:uiPriority w:val="11"/>
    <w:rPr>
      <w:sz w:val="24"/>
      <w:szCs w:val="24"/>
    </w:rPr>
  </w:style>
  <w:style w:type="paragraph" w:styleId="780">
    <w:name w:val="Quote"/>
    <w:basedOn w:val="969"/>
    <w:next w:val="969"/>
    <w:link w:val="781"/>
    <w:uiPriority w:val="29"/>
    <w:qFormat/>
    <w:pPr>
      <w:ind w:left="720" w:right="720"/>
    </w:pPr>
    <w:rPr>
      <w:i/>
    </w:rPr>
  </w:style>
  <w:style w:type="character" w:styleId="781">
    <w:name w:val="Quote Char"/>
    <w:link w:val="780"/>
    <w:uiPriority w:val="29"/>
    <w:rPr>
      <w:i/>
    </w:rPr>
  </w:style>
  <w:style w:type="paragraph" w:styleId="782">
    <w:name w:val="Intense Quote"/>
    <w:basedOn w:val="969"/>
    <w:next w:val="969"/>
    <w:link w:val="7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3">
    <w:name w:val="Intense Quote Char"/>
    <w:link w:val="782"/>
    <w:uiPriority w:val="30"/>
    <w:rPr>
      <w:i/>
    </w:rPr>
  </w:style>
  <w:style w:type="paragraph" w:styleId="784">
    <w:name w:val="Header"/>
    <w:basedOn w:val="969"/>
    <w:link w:val="7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5">
    <w:name w:val="Header Char"/>
    <w:link w:val="784"/>
    <w:uiPriority w:val="99"/>
  </w:style>
  <w:style w:type="paragraph" w:styleId="786">
    <w:name w:val="Footer"/>
    <w:basedOn w:val="969"/>
    <w:link w:val="7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7">
    <w:name w:val="Footer Char"/>
    <w:link w:val="786"/>
    <w:uiPriority w:val="99"/>
  </w:style>
  <w:style w:type="paragraph" w:styleId="788">
    <w:name w:val="Caption"/>
    <w:basedOn w:val="969"/>
    <w:next w:val="969"/>
    <w:link w:val="78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9">
    <w:name w:val="Caption Char"/>
    <w:link w:val="788"/>
    <w:uiPriority w:val="35"/>
    <w:rPr>
      <w:b/>
      <w:bCs/>
      <w:color w:val="4f81bd" w:themeColor="accent1"/>
      <w:sz w:val="18"/>
      <w:szCs w:val="18"/>
    </w:rPr>
  </w:style>
  <w:style w:type="table" w:styleId="79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6">
    <w:name w:val="Hyperlink"/>
    <w:uiPriority w:val="99"/>
    <w:unhideWhenUsed/>
    <w:rPr>
      <w:color w:val="0000ff" w:themeColor="hyperlink"/>
      <w:u w:val="single"/>
    </w:rPr>
  </w:style>
  <w:style w:type="paragraph" w:styleId="917">
    <w:name w:val="footnote text"/>
    <w:basedOn w:val="969"/>
    <w:link w:val="918"/>
    <w:uiPriority w:val="99"/>
    <w:semiHidden/>
    <w:unhideWhenUsed/>
    <w:pPr>
      <w:spacing w:after="40" w:line="240" w:lineRule="auto"/>
    </w:pPr>
    <w:rPr>
      <w:sz w:val="18"/>
    </w:rPr>
  </w:style>
  <w:style w:type="character" w:styleId="918">
    <w:name w:val="Footnote Text Char"/>
    <w:link w:val="917"/>
    <w:uiPriority w:val="99"/>
    <w:rPr>
      <w:sz w:val="18"/>
    </w:rPr>
  </w:style>
  <w:style w:type="character" w:styleId="919">
    <w:name w:val="footnote reference"/>
    <w:uiPriority w:val="99"/>
    <w:unhideWhenUsed/>
    <w:rPr>
      <w:vertAlign w:val="superscript"/>
    </w:rPr>
  </w:style>
  <w:style w:type="paragraph" w:styleId="920">
    <w:name w:val="endnote text"/>
    <w:basedOn w:val="969"/>
    <w:link w:val="921"/>
    <w:uiPriority w:val="99"/>
    <w:semiHidden/>
    <w:unhideWhenUsed/>
    <w:pPr>
      <w:spacing w:after="0" w:line="240" w:lineRule="auto"/>
    </w:pPr>
    <w:rPr>
      <w:sz w:val="20"/>
    </w:rPr>
  </w:style>
  <w:style w:type="character" w:styleId="921">
    <w:name w:val="Endnote Text Char"/>
    <w:link w:val="920"/>
    <w:uiPriority w:val="99"/>
    <w:rPr>
      <w:sz w:val="20"/>
    </w:rPr>
  </w:style>
  <w:style w:type="character" w:styleId="922">
    <w:name w:val="endnote reference"/>
    <w:uiPriority w:val="99"/>
    <w:semiHidden/>
    <w:unhideWhenUsed/>
    <w:rPr>
      <w:vertAlign w:val="superscript"/>
    </w:rPr>
  </w:style>
  <w:style w:type="paragraph" w:styleId="923">
    <w:name w:val="toc 1"/>
    <w:basedOn w:val="969"/>
    <w:next w:val="969"/>
    <w:uiPriority w:val="39"/>
    <w:unhideWhenUsed/>
    <w:pPr>
      <w:ind w:left="0" w:right="0" w:firstLine="0"/>
      <w:spacing w:after="57"/>
    </w:pPr>
  </w:style>
  <w:style w:type="paragraph" w:styleId="924">
    <w:name w:val="toc 2"/>
    <w:basedOn w:val="969"/>
    <w:next w:val="969"/>
    <w:uiPriority w:val="39"/>
    <w:unhideWhenUsed/>
    <w:pPr>
      <w:ind w:left="283" w:right="0" w:firstLine="0"/>
      <w:spacing w:after="57"/>
    </w:pPr>
  </w:style>
  <w:style w:type="paragraph" w:styleId="925">
    <w:name w:val="toc 3"/>
    <w:basedOn w:val="969"/>
    <w:next w:val="969"/>
    <w:uiPriority w:val="39"/>
    <w:unhideWhenUsed/>
    <w:pPr>
      <w:ind w:left="567" w:right="0" w:firstLine="0"/>
      <w:spacing w:after="57"/>
    </w:pPr>
  </w:style>
  <w:style w:type="paragraph" w:styleId="926">
    <w:name w:val="toc 4"/>
    <w:basedOn w:val="969"/>
    <w:next w:val="969"/>
    <w:uiPriority w:val="39"/>
    <w:unhideWhenUsed/>
    <w:pPr>
      <w:ind w:left="850" w:right="0" w:firstLine="0"/>
      <w:spacing w:after="57"/>
    </w:pPr>
  </w:style>
  <w:style w:type="paragraph" w:styleId="927">
    <w:name w:val="toc 5"/>
    <w:basedOn w:val="969"/>
    <w:next w:val="969"/>
    <w:uiPriority w:val="39"/>
    <w:unhideWhenUsed/>
    <w:pPr>
      <w:ind w:left="1134" w:right="0" w:firstLine="0"/>
      <w:spacing w:after="57"/>
    </w:pPr>
  </w:style>
  <w:style w:type="paragraph" w:styleId="928">
    <w:name w:val="toc 6"/>
    <w:basedOn w:val="969"/>
    <w:next w:val="969"/>
    <w:uiPriority w:val="39"/>
    <w:unhideWhenUsed/>
    <w:pPr>
      <w:ind w:left="1417" w:right="0" w:firstLine="0"/>
      <w:spacing w:after="57"/>
    </w:pPr>
  </w:style>
  <w:style w:type="paragraph" w:styleId="929">
    <w:name w:val="toc 7"/>
    <w:basedOn w:val="969"/>
    <w:next w:val="969"/>
    <w:uiPriority w:val="39"/>
    <w:unhideWhenUsed/>
    <w:pPr>
      <w:ind w:left="1701" w:right="0" w:firstLine="0"/>
      <w:spacing w:after="57"/>
    </w:pPr>
  </w:style>
  <w:style w:type="paragraph" w:styleId="930">
    <w:name w:val="toc 8"/>
    <w:basedOn w:val="969"/>
    <w:next w:val="969"/>
    <w:uiPriority w:val="39"/>
    <w:unhideWhenUsed/>
    <w:pPr>
      <w:ind w:left="1984" w:right="0" w:firstLine="0"/>
      <w:spacing w:after="57"/>
    </w:pPr>
  </w:style>
  <w:style w:type="paragraph" w:styleId="931">
    <w:name w:val="toc 9"/>
    <w:basedOn w:val="969"/>
    <w:next w:val="969"/>
    <w:uiPriority w:val="39"/>
    <w:unhideWhenUsed/>
    <w:pPr>
      <w:ind w:left="2268" w:right="0" w:firstLine="0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969"/>
    <w:next w:val="969"/>
    <w:uiPriority w:val="99"/>
    <w:unhideWhenUsed/>
    <w:pPr>
      <w:spacing w:after="0" w:afterAutospacing="0"/>
    </w:pPr>
  </w:style>
  <w:style w:type="paragraph" w:styleId="934">
    <w:name w:val="Normal"/>
    <w:next w:val="934"/>
    <w:link w:val="934"/>
    <w:qFormat/>
    <w:rPr>
      <w:sz w:val="24"/>
      <w:szCs w:val="24"/>
      <w:lang w:val="ru-RU" w:eastAsia="ru-RU" w:bidi="ar-SA"/>
    </w:rPr>
  </w:style>
  <w:style w:type="paragraph" w:styleId="935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34"/>
    <w:next w:val="934"/>
    <w:link w:val="934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36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34"/>
    <w:next w:val="934"/>
    <w:link w:val="934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37">
    <w:name w:val="Заголовок 3"/>
    <w:basedOn w:val="934"/>
    <w:next w:val="934"/>
    <w:link w:val="934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38">
    <w:name w:val="Заголовок 4"/>
    <w:basedOn w:val="934"/>
    <w:next w:val="934"/>
    <w:link w:val="934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39">
    <w:name w:val="Заголовок 5"/>
    <w:basedOn w:val="934"/>
    <w:next w:val="934"/>
    <w:link w:val="934"/>
    <w:qFormat/>
    <w:pPr>
      <w:keepNext/>
      <w:outlineLvl w:val="4"/>
    </w:pPr>
    <w:rPr>
      <w:b/>
      <w:bCs/>
      <w:szCs w:val="20"/>
    </w:rPr>
  </w:style>
  <w:style w:type="paragraph" w:styleId="940">
    <w:name w:val="Заголовок 6"/>
    <w:basedOn w:val="934"/>
    <w:next w:val="934"/>
    <w:link w:val="934"/>
    <w:qFormat/>
    <w:pPr>
      <w:keepNext/>
      <w:spacing w:line="360" w:lineRule="auto"/>
      <w:outlineLvl w:val="5"/>
    </w:pPr>
    <w:rPr>
      <w:szCs w:val="20"/>
    </w:rPr>
  </w:style>
  <w:style w:type="paragraph" w:styleId="941">
    <w:name w:val="Заголовок 7"/>
    <w:basedOn w:val="934"/>
    <w:next w:val="934"/>
    <w:link w:val="934"/>
    <w:qFormat/>
    <w:pPr>
      <w:jc w:val="center"/>
      <w:keepNext/>
      <w:outlineLvl w:val="6"/>
    </w:pPr>
    <w:rPr>
      <w:b/>
      <w:bCs/>
    </w:rPr>
  </w:style>
  <w:style w:type="paragraph" w:styleId="942">
    <w:name w:val="Заголовок 8"/>
    <w:basedOn w:val="934"/>
    <w:next w:val="934"/>
    <w:link w:val="934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43">
    <w:name w:val="Заголовок 9"/>
    <w:basedOn w:val="934"/>
    <w:next w:val="934"/>
    <w:link w:val="934"/>
    <w:qFormat/>
    <w:pPr>
      <w:jc w:val="center"/>
      <w:keepNext/>
      <w:outlineLvl w:val="8"/>
    </w:pPr>
    <w:rPr>
      <w:szCs w:val="20"/>
    </w:rPr>
  </w:style>
  <w:style w:type="character" w:styleId="944">
    <w:name w:val="Основной шрифт абзаца"/>
    <w:next w:val="944"/>
    <w:link w:val="934"/>
    <w:semiHidden/>
  </w:style>
  <w:style w:type="table" w:styleId="945">
    <w:name w:val="Обычная таблица"/>
    <w:next w:val="945"/>
    <w:link w:val="934"/>
    <w:semiHidden/>
    <w:tblPr/>
  </w:style>
  <w:style w:type="numbering" w:styleId="946">
    <w:name w:val="Нет списка"/>
    <w:next w:val="946"/>
    <w:link w:val="934"/>
    <w:semiHidden/>
  </w:style>
  <w:style w:type="paragraph" w:styleId="947">
    <w:name w:val=" Знак Знак Знак1 Знак Знак Знак Знак Знак Знак Знак"/>
    <w:basedOn w:val="934"/>
    <w:next w:val="947"/>
    <w:link w:val="93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48">
    <w:name w:val="Название"/>
    <w:basedOn w:val="934"/>
    <w:next w:val="948"/>
    <w:link w:val="934"/>
    <w:qFormat/>
    <w:pPr>
      <w:jc w:val="center"/>
    </w:pPr>
    <w:rPr>
      <w:b/>
      <w:sz w:val="22"/>
      <w:szCs w:val="20"/>
    </w:rPr>
  </w:style>
  <w:style w:type="character" w:styleId="949">
    <w:name w:val="Гиперссылка"/>
    <w:next w:val="949"/>
    <w:link w:val="934"/>
    <w:rPr>
      <w:color w:val="0000ff"/>
      <w:u w:val="single"/>
    </w:rPr>
  </w:style>
  <w:style w:type="paragraph" w:styleId="950">
    <w:name w:val="xl34"/>
    <w:basedOn w:val="934"/>
    <w:next w:val="950"/>
    <w:link w:val="934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51">
    <w:name w:val="Основной текст 3"/>
    <w:basedOn w:val="934"/>
    <w:next w:val="951"/>
    <w:link w:val="992"/>
    <w:uiPriority w:val="99"/>
    <w:pPr>
      <w:jc w:val="both"/>
    </w:pPr>
    <w:rPr>
      <w:sz w:val="26"/>
      <w:szCs w:val="20"/>
      <w:lang w:val="en-US" w:eastAsia="en-US"/>
    </w:rPr>
  </w:style>
  <w:style w:type="paragraph" w:styleId="952">
    <w:name w:val="Основной текст с отступом"/>
    <w:basedOn w:val="934"/>
    <w:next w:val="952"/>
    <w:link w:val="989"/>
    <w:pPr>
      <w:ind w:left="567"/>
      <w:jc w:val="both"/>
    </w:pPr>
    <w:rPr>
      <w:szCs w:val="20"/>
      <w:lang w:val="en-US" w:eastAsia="en-US"/>
    </w:rPr>
  </w:style>
  <w:style w:type="paragraph" w:styleId="953">
    <w:name w:val="xl27"/>
    <w:basedOn w:val="934"/>
    <w:next w:val="953"/>
    <w:link w:val="934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54">
    <w:name w:val="Normal1"/>
    <w:next w:val="954"/>
    <w:link w:val="934"/>
    <w:pPr>
      <w:spacing w:before="100" w:after="100"/>
    </w:pPr>
    <w:rPr>
      <w:sz w:val="24"/>
      <w:lang w:val="ru-RU" w:eastAsia="ru-RU" w:bidi="ar-SA"/>
    </w:rPr>
  </w:style>
  <w:style w:type="paragraph" w:styleId="955">
    <w:name w:val="Основной текст,Основной текст таблиц,в таблице,таблицы,в таблицах, в таблице, в таблицах"/>
    <w:basedOn w:val="934"/>
    <w:next w:val="955"/>
    <w:link w:val="934"/>
    <w:rPr>
      <w:sz w:val="28"/>
    </w:rPr>
  </w:style>
  <w:style w:type="paragraph" w:styleId="956">
    <w:name w:val="Верхний колонтитул, Знак23,Знак23"/>
    <w:basedOn w:val="934"/>
    <w:next w:val="956"/>
    <w:link w:val="986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57">
    <w:name w:val="Номер страницы"/>
    <w:basedOn w:val="944"/>
    <w:next w:val="957"/>
    <w:link w:val="934"/>
  </w:style>
  <w:style w:type="paragraph" w:styleId="958">
    <w:name w:val="Нижний колонтитул"/>
    <w:basedOn w:val="934"/>
    <w:next w:val="958"/>
    <w:link w:val="934"/>
    <w:pPr>
      <w:tabs>
        <w:tab w:val="center" w:pos="4677" w:leader="none"/>
        <w:tab w:val="right" w:pos="9355" w:leader="none"/>
      </w:tabs>
    </w:pPr>
  </w:style>
  <w:style w:type="paragraph" w:styleId="959">
    <w:name w:val="Основной текст 2"/>
    <w:basedOn w:val="934"/>
    <w:next w:val="959"/>
    <w:link w:val="934"/>
    <w:pPr>
      <w:jc w:val="center"/>
    </w:pPr>
  </w:style>
  <w:style w:type="paragraph" w:styleId="960">
    <w:name w:val="Цитата"/>
    <w:basedOn w:val="934"/>
    <w:next w:val="960"/>
    <w:link w:val="934"/>
    <w:pPr>
      <w:ind w:left="360" w:right="141"/>
    </w:pPr>
  </w:style>
  <w:style w:type="paragraph" w:styleId="961">
    <w:name w:val="Основной текст с отступом 2"/>
    <w:basedOn w:val="934"/>
    <w:next w:val="961"/>
    <w:link w:val="993"/>
    <w:pPr>
      <w:ind w:left="912"/>
      <w:jc w:val="both"/>
    </w:pPr>
    <w:rPr>
      <w:lang w:val="en-US" w:eastAsia="en-US"/>
    </w:rPr>
  </w:style>
  <w:style w:type="paragraph" w:styleId="962">
    <w:name w:val="Нумерованный список"/>
    <w:basedOn w:val="934"/>
    <w:next w:val="962"/>
    <w:link w:val="934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63">
    <w:name w:val="Текст выноски"/>
    <w:basedOn w:val="934"/>
    <w:next w:val="963"/>
    <w:link w:val="934"/>
    <w:semiHidden/>
    <w:rPr>
      <w:rFonts w:ascii="Tahoma" w:hAnsi="Tahoma" w:cs="Tahoma"/>
      <w:sz w:val="16"/>
      <w:szCs w:val="16"/>
    </w:rPr>
  </w:style>
  <w:style w:type="paragraph" w:styleId="964">
    <w:name w:val="Основной текст с отступом 3"/>
    <w:basedOn w:val="934"/>
    <w:next w:val="964"/>
    <w:link w:val="934"/>
    <w:pPr>
      <w:ind w:right="-1" w:firstLine="426"/>
      <w:jc w:val="both"/>
    </w:pPr>
    <w:rPr>
      <w:szCs w:val="20"/>
    </w:rPr>
  </w:style>
  <w:style w:type="paragraph" w:styleId="965">
    <w:name w:val="Схема документа"/>
    <w:basedOn w:val="934"/>
    <w:next w:val="965"/>
    <w:link w:val="9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66">
    <w:name w:val="Сетка таблицы"/>
    <w:basedOn w:val="945"/>
    <w:next w:val="966"/>
    <w:link w:val="934"/>
    <w:tblPr/>
  </w:style>
  <w:style w:type="paragraph" w:styleId="967">
    <w:name w:val="Default Paragraph Font Para Char Char Знак Знак Знак Знак"/>
    <w:basedOn w:val="934"/>
    <w:next w:val="967"/>
    <w:link w:val="93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68">
    <w:name w:val="Текст примечания"/>
    <w:basedOn w:val="934"/>
    <w:next w:val="968"/>
    <w:link w:val="934"/>
    <w:semiHidden/>
    <w:rPr>
      <w:sz w:val="20"/>
      <w:szCs w:val="20"/>
    </w:rPr>
  </w:style>
  <w:style w:type="paragraph" w:styleId="969">
    <w:name w:val="Normal"/>
    <w:basedOn w:val="934"/>
    <w:next w:val="969"/>
    <w:link w:val="934"/>
    <w:pPr>
      <w:spacing w:before="100" w:after="100"/>
    </w:pPr>
  </w:style>
  <w:style w:type="paragraph" w:styleId="970">
    <w:name w:val="a"/>
    <w:basedOn w:val="934"/>
    <w:next w:val="970"/>
    <w:link w:val="934"/>
    <w:pPr>
      <w:ind w:firstLine="720"/>
      <w:jc w:val="both"/>
    </w:pPr>
  </w:style>
  <w:style w:type="paragraph" w:styleId="971">
    <w:name w:val="Пункт"/>
    <w:basedOn w:val="934"/>
    <w:next w:val="971"/>
    <w:link w:val="934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72">
    <w:name w:val=" Знак"/>
    <w:basedOn w:val="934"/>
    <w:next w:val="972"/>
    <w:link w:val="93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3">
    <w:name w:val="Оглавление 5"/>
    <w:basedOn w:val="934"/>
    <w:next w:val="934"/>
    <w:link w:val="934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74">
    <w:name w:val="1 Знак"/>
    <w:basedOn w:val="934"/>
    <w:next w:val="974"/>
    <w:link w:val="93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5">
    <w:name w:val="FR1"/>
    <w:next w:val="975"/>
    <w:link w:val="934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76">
    <w:name w:val="Знак Знак Знак1 Знак Знак Знак Знак Знак Знак Знак"/>
    <w:basedOn w:val="934"/>
    <w:next w:val="976"/>
    <w:link w:val="93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77">
    <w:name w:val="Просмотренная гиперссылка"/>
    <w:next w:val="977"/>
    <w:link w:val="934"/>
    <w:rPr>
      <w:color w:val="800080"/>
      <w:u w:val="single"/>
    </w:rPr>
  </w:style>
  <w:style w:type="paragraph" w:styleId="978">
    <w:name w:val="Подзаголовок"/>
    <w:basedOn w:val="934"/>
    <w:next w:val="978"/>
    <w:link w:val="934"/>
    <w:qFormat/>
    <w:rPr>
      <w:sz w:val="36"/>
    </w:rPr>
  </w:style>
  <w:style w:type="paragraph" w:styleId="979">
    <w:name w:val="Маркированный список"/>
    <w:basedOn w:val="934"/>
    <w:next w:val="979"/>
    <w:link w:val="934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80">
    <w:name w:val="xl83"/>
    <w:basedOn w:val="934"/>
    <w:next w:val="980"/>
    <w:link w:val="934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81">
    <w:name w:val="Подпункт"/>
    <w:basedOn w:val="971"/>
    <w:next w:val="981"/>
    <w:link w:val="934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82">
    <w:name w:val="Подподпункт"/>
    <w:basedOn w:val="981"/>
    <w:next w:val="982"/>
    <w:link w:val="934"/>
    <w:pPr>
      <w:ind w:left="1843" w:hanging="567"/>
      <w:tabs>
        <w:tab w:val="clear" w:pos="1276" w:leader="none"/>
        <w:tab w:val="num" w:pos="1843" w:leader="none"/>
      </w:tabs>
    </w:pPr>
  </w:style>
  <w:style w:type="paragraph" w:styleId="983">
    <w:name w:val="Название объекта"/>
    <w:basedOn w:val="934"/>
    <w:next w:val="934"/>
    <w:link w:val="934"/>
    <w:qFormat/>
    <w:rPr>
      <w:b/>
      <w:bCs/>
      <w:sz w:val="20"/>
      <w:szCs w:val="20"/>
    </w:rPr>
  </w:style>
  <w:style w:type="paragraph" w:styleId="984">
    <w:name w:val=" Знак1 Знак Знак Знак Знак Знак Знак"/>
    <w:basedOn w:val="934"/>
    <w:next w:val="984"/>
    <w:link w:val="934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5">
    <w:name w:val=" Знак2"/>
    <w:basedOn w:val="934"/>
    <w:next w:val="985"/>
    <w:link w:val="93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86">
    <w:name w:val="Верхний колонтитул Знак, Знак23 Знак,Знак23 Знак"/>
    <w:next w:val="986"/>
    <w:link w:val="956"/>
    <w:rPr>
      <w:lang w:val="ru-RU" w:eastAsia="ru-RU" w:bidi="ar-SA"/>
    </w:rPr>
  </w:style>
  <w:style w:type="character" w:styleId="987">
    <w:name w:val=" Знак Знак2"/>
    <w:next w:val="987"/>
    <w:link w:val="934"/>
    <w:rPr>
      <w:lang w:val="ru-RU" w:eastAsia="ru-RU" w:bidi="ar-SA"/>
    </w:rPr>
  </w:style>
  <w:style w:type="paragraph" w:styleId="988">
    <w:name w:val="Times 12"/>
    <w:basedOn w:val="934"/>
    <w:next w:val="988"/>
    <w:link w:val="934"/>
    <w:pPr>
      <w:ind w:firstLine="567"/>
      <w:jc w:val="both"/>
    </w:pPr>
    <w:rPr>
      <w:szCs w:val="20"/>
    </w:rPr>
  </w:style>
  <w:style w:type="character" w:styleId="989">
    <w:name w:val="Основной текст с отступом Знак"/>
    <w:next w:val="989"/>
    <w:link w:val="952"/>
    <w:rPr>
      <w:sz w:val="24"/>
    </w:rPr>
  </w:style>
  <w:style w:type="paragraph" w:styleId="990">
    <w:name w:val="Таблица текст"/>
    <w:basedOn w:val="934"/>
    <w:next w:val="990"/>
    <w:link w:val="934"/>
    <w:pPr>
      <w:ind w:left="57" w:right="57"/>
      <w:spacing w:before="40" w:after="40"/>
    </w:pPr>
    <w:rPr>
      <w:szCs w:val="20"/>
    </w:rPr>
  </w:style>
  <w:style w:type="paragraph" w:styleId="991">
    <w:name w:val="Обычный2"/>
    <w:next w:val="991"/>
    <w:link w:val="934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92">
    <w:name w:val="Основной текст 3 Знак"/>
    <w:next w:val="992"/>
    <w:link w:val="951"/>
    <w:rPr>
      <w:sz w:val="26"/>
    </w:rPr>
  </w:style>
  <w:style w:type="character" w:styleId="993">
    <w:name w:val="Основной текст с отступом 2 Знак"/>
    <w:next w:val="993"/>
    <w:link w:val="961"/>
    <w:rPr>
      <w:sz w:val="24"/>
      <w:szCs w:val="24"/>
    </w:rPr>
  </w:style>
  <w:style w:type="paragraph" w:styleId="994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34"/>
    <w:next w:val="994"/>
    <w:link w:val="999"/>
    <w:uiPriority w:val="34"/>
    <w:qFormat/>
    <w:pPr>
      <w:ind w:left="708"/>
    </w:pPr>
    <w:rPr>
      <w:lang w:val="en-US" w:eastAsia="en-US"/>
    </w:rPr>
  </w:style>
  <w:style w:type="paragraph" w:styleId="995">
    <w:name w:val="Таблица шапка"/>
    <w:basedOn w:val="934"/>
    <w:next w:val="995"/>
    <w:link w:val="934"/>
    <w:pPr>
      <w:ind w:left="57" w:right="57"/>
      <w:keepNext/>
      <w:spacing w:before="40" w:after="40"/>
    </w:pPr>
    <w:rPr>
      <w:sz w:val="22"/>
      <w:szCs w:val="20"/>
    </w:rPr>
  </w:style>
  <w:style w:type="paragraph" w:styleId="996">
    <w:name w:val="Текст"/>
    <w:basedOn w:val="934"/>
    <w:next w:val="996"/>
    <w:link w:val="997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997">
    <w:name w:val="Текст Знак"/>
    <w:next w:val="997"/>
    <w:link w:val="996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998">
    <w:name w:val="notice-number3"/>
    <w:next w:val="998"/>
    <w:link w:val="934"/>
  </w:style>
  <w:style w:type="character" w:styleId="999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999"/>
    <w:link w:val="994"/>
    <w:uiPriority w:val="34"/>
    <w:qFormat/>
    <w:rPr>
      <w:sz w:val="24"/>
      <w:szCs w:val="24"/>
    </w:rPr>
  </w:style>
  <w:style w:type="character" w:styleId="1000">
    <w:name w:val="defaultlabelstyle3"/>
    <w:next w:val="1000"/>
    <w:link w:val="934"/>
    <w:rPr>
      <w:rFonts w:ascii="Verdana" w:hAnsi="Verdana"/>
      <w:color w:val="333333"/>
    </w:rPr>
  </w:style>
  <w:style w:type="paragraph" w:styleId="1001">
    <w:name w:val="P-Style"/>
    <w:basedOn w:val="934"/>
    <w:next w:val="1001"/>
    <w:link w:val="934"/>
    <w:pPr>
      <w:spacing w:after="95" w:line="276" w:lineRule="auto"/>
    </w:pPr>
  </w:style>
  <w:style w:type="character" w:styleId="1002">
    <w:name w:val="Основной текст Знак1"/>
    <w:next w:val="1002"/>
    <w:link w:val="934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table" w:styleId="1003">
    <w:name w:val="Сетка таблицы1"/>
    <w:basedOn w:val="945"/>
    <w:next w:val="966"/>
    <w:link w:val="934"/>
    <w:uiPriority w:val="59"/>
    <w:rPr>
      <w:rFonts w:ascii="Calibri" w:hAnsi="Calibri"/>
      <w:sz w:val="22"/>
      <w:szCs w:val="22"/>
    </w:rPr>
    <w:tblPr/>
  </w:style>
  <w:style w:type="paragraph" w:styleId="1004">
    <w:name w:val="noprint"/>
    <w:basedOn w:val="934"/>
    <w:next w:val="1004"/>
    <w:link w:val="934"/>
    <w:pPr>
      <w:spacing w:before="100" w:beforeAutospacing="1" w:after="100" w:afterAutospacing="1"/>
    </w:pPr>
  </w:style>
  <w:style w:type="character" w:styleId="1005" w:default="1">
    <w:name w:val="Default Paragraph Font"/>
    <w:uiPriority w:val="1"/>
    <w:semiHidden/>
    <w:unhideWhenUsed/>
  </w:style>
  <w:style w:type="numbering" w:styleId="1006" w:default="1">
    <w:name w:val="No List"/>
    <w:uiPriority w:val="99"/>
    <w:semiHidden/>
    <w:unhideWhenUsed/>
  </w:style>
  <w:style w:type="table" w:styleId="1007" w:default="1">
    <w:name w:val="Normal Table"/>
    <w:uiPriority w:val="99"/>
    <w:semiHidden/>
    <w:unhideWhenUsed/>
    <w:tblPr/>
  </w:style>
  <w:style w:type="paragraph" w:styleId="1008" w:customStyle="1">
    <w:name w:val="Body Text 3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BarmikovaEV</cp:lastModifiedBy>
  <cp:revision>298</cp:revision>
  <dcterms:created xsi:type="dcterms:W3CDTF">2023-05-16T05:30:00Z</dcterms:created>
  <dcterms:modified xsi:type="dcterms:W3CDTF">2025-12-15T08:14:59Z</dcterms:modified>
  <cp:version>1048576</cp:version>
</cp:coreProperties>
</file>