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messagecaption"/>
        <w:rPr/>
      </w:pPr>
      <w:r>
        <w:rPr/>
        <w:t xml:space="preserve">СБ-АСТ: ПРОТОКОЛ РАССМОТРЕНИЯ </w:t>
      </w:r>
    </w:p>
    <w:p>
      <w:pPr>
        <w:pStyle w:val="centered"/>
        <w:rPr/>
      </w:pPr>
      <w:r>
        <w:rPr>
          <w:b/>
        </w:rPr>
        <w:t>(в редакции № 1) № 32515441975-1</w:t>
      </w:r>
    </w:p>
    <w:p>
      <w:pPr>
        <w:pStyle w:val="messagesubcaption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Номер процедуры:</w:t>
      </w:r>
      <w:r>
        <w:rPr>
          <w:b w:val="false"/>
        </w:rPr>
        <w:t xml:space="preserve"> 0046625019DP</w:t>
      </w:r>
    </w:p>
    <w:p>
      <w:pPr>
        <w:pStyle w:val="variable"/>
        <w:rPr/>
      </w:pPr>
      <w:r>
        <w:rPr/>
        <w:t>Реестровый номер (ЕИС):</w:t>
      </w:r>
      <w:r>
        <w:rPr>
          <w:b w:val="false"/>
        </w:rPr>
        <w:t xml:space="preserve"> 32515441975</w:t>
      </w:r>
    </w:p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I. Общие положения</w:t>
      </w:r>
    </w:p>
    <w:p>
      <w:pPr>
        <w:pStyle w:val="variable"/>
        <w:rPr/>
      </w:pPr>
      <w:r>
        <w:rPr/>
        <w:t>Способ закупки:</w:t>
      </w:r>
      <w:r>
        <w:rPr>
          <w:b w:val="false"/>
        </w:rPr>
        <w:t xml:space="preserve"> СБ-АСТ: Открытый аукцион в электронной форме.</w:t>
      </w:r>
    </w:p>
    <w:p>
      <w:pPr>
        <w:pStyle w:val="variable"/>
        <w:rPr/>
      </w:pPr>
      <w:r>
        <w:rPr/>
        <w:t>Сведения об организаторе:</w:t>
      </w:r>
      <w:r>
        <w:rPr>
          <w:b w:val="false"/>
        </w:rPr>
        <w:t xml:space="preserve"> Федеральное государственное бюджетное образовательное учреждение высшего образования "Петербургский государственный университет путей сообщения Императора Александра I" (ИНН: 7812009592, КПП: 783801001, ОГРН: 1027810241502).</w:t>
      </w:r>
    </w:p>
    <w:p>
      <w:pPr>
        <w:pStyle w:val="text"/>
        <w:rPr/>
      </w:pPr>
      <w:r>
        <w:rPr/>
        <w:t>Место нахождения: 190031, Санкт-Петербург, Московский пр., д.9.</w:t>
      </w:r>
    </w:p>
    <w:p>
      <w:pPr>
        <w:pStyle w:val="text"/>
        <w:rPr/>
      </w:pPr>
      <w:r>
        <w:rPr/>
        <w:t>Почтовый адрес: 190031, Санкт-Петербург, Московский пр., д.9.</w:t>
      </w:r>
    </w:p>
    <w:p>
      <w:pPr>
        <w:pStyle w:val="variable"/>
        <w:rPr/>
      </w:pPr>
      <w:r>
        <w:rPr/>
        <w:t>Сведения о заказчике:</w:t>
      </w:r>
      <w:r>
        <w:rPr>
          <w:b w:val="false"/>
        </w:rPr>
        <w:t xml:space="preserve"> Федеральное государственное бюджетное образовательное учреждение высшего образования "Петербургский государственный университет путей сообщения Императора Александра I" (ИНН: 7812009592, КПП: 783801001, ОГРН: 1027810241502).</w:t>
      </w:r>
    </w:p>
    <w:p>
      <w:pPr>
        <w:pStyle w:val="text"/>
        <w:rPr/>
      </w:pPr>
      <w:r>
        <w:rPr/>
        <w:t>Место нахождения: 190031, Санкт-Петербург, Московский пр., д.9.</w:t>
      </w:r>
    </w:p>
    <w:p>
      <w:pPr>
        <w:pStyle w:val="text"/>
        <w:rPr/>
      </w:pPr>
      <w:r>
        <w:rPr/>
        <w:t>Почтовый адрес: 190031, Санкт-Петербург, Московский пр., д.9.</w:t>
      </w:r>
    </w:p>
    <w:p>
      <w:pPr>
        <w:pStyle w:val="variable"/>
        <w:rPr/>
      </w:pPr>
      <w:r>
        <w:rPr/>
        <w:t>Контактная информация:</w:t>
      </w:r>
      <w:r>
        <w:rPr>
          <w:b w:val="false"/>
        </w:rPr>
        <w:t xml:space="preserve"> Селютина С. В., тел.: 812 4369797, e-mail: tradegz@bk.ru</w:t>
      </w:r>
    </w:p>
    <w:p>
      <w:pPr>
        <w:pStyle w:val="variable"/>
        <w:rPr/>
      </w:pPr>
      <w:r>
        <w:rPr/>
        <w:t>Сведения об операторе электронной площадки:</w:t>
      </w:r>
      <w:r>
        <w:rPr>
          <w:b w:val="false"/>
        </w:rPr>
        <w:t xml:space="preserve"> ООО «ЭТР»</w:t>
      </w:r>
    </w:p>
    <w:p>
      <w:pPr>
        <w:pStyle w:val="variable"/>
        <w:rPr/>
      </w:pPr>
      <w:r>
        <w:rPr/>
        <w:t>Наименование закупки:</w:t>
      </w:r>
      <w:r>
        <w:rPr>
          <w:b w:val="false"/>
        </w:rPr>
        <w:t xml:space="preserve"> Поставка оборудования  для  практического обучения информатизации в СПбТЖТ  в рамках федерального проекта "Профессионалитет"</w:t>
      </w:r>
    </w:p>
    <w:p>
      <w:pPr>
        <w:pStyle w:val="variable"/>
        <w:rPr/>
      </w:pPr>
      <w:r>
        <w:rPr/>
        <w:t>Предмет договора (лота):</w:t>
      </w:r>
      <w:r>
        <w:rPr>
          <w:b w:val="false"/>
        </w:rPr>
        <w:t xml:space="preserve"> Поставка оборудования  для  практического обучения информатизации в СПбТЖТ  в рамках федерального проекта "Профессионалитет".</w:t>
      </w:r>
    </w:p>
    <w:p>
      <w:pPr>
        <w:pStyle w:val="Normal"/>
        <w:rPr>
          <w:b/>
        </w:rPr>
      </w:pPr>
      <w:r>
        <w:rPr>
          <w:b/>
        </w:rPr>
        <w:t>Классификация товаров, работ, услуг:</w:t>
      </w:r>
    </w:p>
    <w:tbl>
      <w:tblPr>
        <w:tblW w:w="525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5"/>
        <w:gridCol w:w="2263"/>
        <w:gridCol w:w="1431"/>
        <w:gridCol w:w="1440"/>
        <w:gridCol w:w="2622"/>
        <w:gridCol w:w="1968"/>
      </w:tblGrid>
      <w:tr>
        <w:trPr/>
        <w:tc>
          <w:tcPr>
            <w:tcW w:w="39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26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43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4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62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96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9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26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Ноутбуки, в том числе портативные в защищенном исполнении, предназначенные для работы в сложной среде эксплуатации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15 (Штука)</w:t>
            </w:r>
          </w:p>
        </w:tc>
        <w:tc>
          <w:tcPr>
            <w:tcW w:w="144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Ограничение</w:t>
            </w:r>
          </w:p>
        </w:tc>
        <w:tc>
          <w:tcPr>
            <w:tcW w:w="262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26.20.11.110: Ноутбуки, в том числе портативные в защищенном исполнении, предназначенные для работы в сложной среде эксплуатации</w:t>
            </w:r>
          </w:p>
        </w:tc>
        <w:tc>
          <w:tcPr>
            <w:tcW w:w="19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26.20: Производство компьютеров и периферийного оборудования</w:t>
            </w:r>
          </w:p>
        </w:tc>
      </w:tr>
      <w:tr>
        <w:trPr/>
        <w:tc>
          <w:tcPr>
            <w:tcW w:w="39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226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Ноутбуки, в том числе портативные в защищенном исполнении, предназначенные для работы в сложной среде эксплуатации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24 (Штука)</w:t>
            </w:r>
          </w:p>
        </w:tc>
        <w:tc>
          <w:tcPr>
            <w:tcW w:w="144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Ограничение</w:t>
            </w:r>
          </w:p>
        </w:tc>
        <w:tc>
          <w:tcPr>
            <w:tcW w:w="262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26.20.11.110: Ноутбуки, в том числе портативные в защищенном исполнении, предназначенные для работы в сложной среде эксплуатации</w:t>
            </w:r>
          </w:p>
        </w:tc>
        <w:tc>
          <w:tcPr>
            <w:tcW w:w="196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26.20: Производство компьютеров и периферийного оборудования</w:t>
            </w:r>
          </w:p>
        </w:tc>
      </w:tr>
    </w:tbl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Начальная (максимальная) цена договора (лота):</w:t>
      </w:r>
      <w:r>
        <w:rPr>
          <w:b w:val="false"/>
        </w:rPr>
        <w:t xml:space="preserve"> 5 433 742.00 руб.</w:t>
      </w:r>
    </w:p>
    <w:p>
      <w:pPr>
        <w:pStyle w:val="variable"/>
        <w:rPr/>
      </w:pPr>
      <w:r>
        <w:rPr/>
        <w:t>Срок предоставления документации о закупке:</w:t>
      </w:r>
      <w:r>
        <w:rPr>
          <w:b w:val="false"/>
        </w:rPr>
        <w:t xml:space="preserve"> с 25 ноября 2025 года по 12 декабря 2025 года.</w:t>
      </w:r>
    </w:p>
    <w:p>
      <w:pPr>
        <w:pStyle w:val="variable"/>
        <w:rPr/>
      </w:pPr>
      <w:r>
        <w:rPr/>
        <w:t>Место предоставления документации о закупке:</w:t>
      </w:r>
      <w:r>
        <w:rPr>
          <w:b w:val="false"/>
        </w:rPr>
        <w:t xml:space="preserve"> Документация размещается на официальном сайте единой информационной системы в сфере закупок товаров, работ, услуг www.zakupki.gov.ru, а также на сайте электронной площадки в сети «Интернет» https://torgi82.ru/.</w:t>
      </w:r>
    </w:p>
    <w:p>
      <w:pPr>
        <w:pStyle w:val="variable"/>
        <w:rPr/>
      </w:pPr>
      <w:r>
        <w:rPr/>
        <w:t>Порядок предоставления документации о закупке:</w:t>
      </w:r>
      <w:r>
        <w:rPr>
          <w:b w:val="false"/>
        </w:rPr>
        <w:t xml:space="preserve"> документация доступна для ознакомления без взимания платы с момента ее опубликования и до момента подведения итогов аукциона. В бумажном виде копия документация не предоставляется.</w:t>
      </w:r>
    </w:p>
    <w:p>
      <w:pPr>
        <w:pStyle w:val="variable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</w:rPr>
        <w:t xml:space="preserve"> http://zakupki.gov.ru/223.</w:t>
      </w:r>
    </w:p>
    <w:p>
      <w:pPr>
        <w:pStyle w:val="variable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</w:rPr>
        <w:t xml:space="preserve"> плата не установлена.</w:t>
      </w:r>
    </w:p>
    <w:p>
      <w:pPr>
        <w:pStyle w:val="variable"/>
        <w:rPr/>
      </w:pPr>
      <w:r>
        <w:rPr/>
        <w:t>Место подачи заявок:</w:t>
      </w:r>
      <w:r>
        <w:rPr>
          <w:b w:val="false"/>
        </w:rPr>
        <w:t xml:space="preserve"> Электронные Торги России http://torgi82.ru.</w:t>
      </w:r>
    </w:p>
    <w:p>
      <w:pPr>
        <w:pStyle w:val="variable"/>
        <w:rPr/>
      </w:pPr>
      <w:r>
        <w:rPr/>
        <w:t>Дата начала подачи заявок:</w:t>
      </w:r>
      <w:r>
        <w:rPr>
          <w:b w:val="false"/>
        </w:rPr>
        <w:t xml:space="preserve"> 25 ноября 2025 года.</w:t>
      </w:r>
    </w:p>
    <w:p>
      <w:pPr>
        <w:pStyle w:val="variable"/>
        <w:rPr/>
      </w:pPr>
      <w:r>
        <w:rPr/>
        <w:t>Дата и время окончания подачи заявок:</w:t>
      </w:r>
      <w:r>
        <w:rPr>
          <w:b w:val="false"/>
        </w:rPr>
        <w:t xml:space="preserve"> 12 декабря 2025 года в 09:00 по времени сервера http://torgi82.ru.</w:t>
      </w:r>
    </w:p>
    <w:p>
      <w:pPr>
        <w:pStyle w:val="variable"/>
        <w:rPr/>
      </w:pPr>
      <w:r>
        <w:rPr/>
        <w:t>Место, дата и время рассмотрения заявок:</w:t>
      </w:r>
      <w:r>
        <w:rPr>
          <w:b w:val="false"/>
        </w:rPr>
        <w:t xml:space="preserve"> 190031, Санкт-Петербург, Московский пр., д.9, 15 декабря 2025 года в 09:29 часов местного времени.</w:t>
      </w:r>
    </w:p>
    <w:p>
      <w:pPr>
        <w:pStyle w:val="variable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</w:rPr>
        <w:t xml:space="preserve"> https://torgi82.ru/.</w:t>
      </w:r>
    </w:p>
    <w:p>
      <w:pPr>
        <w:pStyle w:val="variable"/>
        <w:rPr/>
      </w:pPr>
      <w:r>
        <w:rPr/>
        <w:t>Дата и время начала проведения торгов:</w:t>
      </w:r>
      <w:r>
        <w:rPr>
          <w:b w:val="false"/>
        </w:rPr>
        <w:t xml:space="preserve"> 16 декабря 2025 года в 10:00 по времени сервера https://torgi82.ru/.</w:t>
      </w:r>
    </w:p>
    <w:p>
      <w:pPr>
        <w:pStyle w:val="variable"/>
        <w:rPr/>
      </w:pPr>
      <w:r>
        <w:rPr/>
        <w:t>Место, дата и время подведения итогов закупки:</w:t>
      </w:r>
      <w:r>
        <w:rPr>
          <w:b w:val="false"/>
        </w:rPr>
        <w:t xml:space="preserve"> 190031, Санкт-Петербург, Московский пр., д.9, 17 декабря 2025 года в 11:00 часов местного времени.</w:t>
      </w:r>
    </w:p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II. Сведения о результатах рассмотрения первых частей заявок</w:t>
      </w:r>
    </w:p>
    <w:p>
      <w:pPr>
        <w:pStyle w:val="Normal"/>
        <w:rPr>
          <w:b/>
        </w:rPr>
      </w:pPr>
      <w:r>
        <w:rPr>
          <w:b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89"/>
        <w:gridCol w:w="3835"/>
        <w:gridCol w:w="1914"/>
      </w:tblGrid>
      <w:tr>
        <w:trPr/>
        <w:tc>
          <w:tcPr>
            <w:tcW w:w="388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8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04.12.2025 13:02:36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№33560</w:t>
            </w:r>
          </w:p>
        </w:tc>
        <w:tc>
          <w:tcPr>
            <w:tcW w:w="191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6"/>
        <w:gridCol w:w="3202"/>
      </w:tblGrid>
      <w:tr>
        <w:trPr/>
        <w:tc>
          <w:tcPr>
            <w:tcW w:w="6436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20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№33560</w:t>
            </w:r>
          </w:p>
        </w:tc>
        <w:tc>
          <w:tcPr>
            <w:tcW w:w="320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/>
      </w:pPr>
      <w:r>
        <w:rPr/>
      </w:r>
    </w:p>
    <w:p>
      <w:pPr>
        <w:pStyle w:val="variable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</w:rPr>
        <w:t xml:space="preserve"> отклоненные заявки отсутствуют.</w:t>
      </w:r>
    </w:p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III. Сведения о признании закупки несостоявшейся</w:t>
      </w:r>
    </w:p>
    <w:p>
      <w:pPr>
        <w:pStyle w:val="text"/>
        <w:rPr/>
      </w:pPr>
      <w:r>
        <w:rPr/>
        <w:t>Конкурентная закупка признана несостоявшейся в связи с тем, что на участие в закупке подана только одна заявка</w:t>
      </w:r>
    </w:p>
    <w:p>
      <w:pPr>
        <w:pStyle w:val="Normal"/>
        <w:rPr/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1"/>
        <w:gridCol w:w="4978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>
          <w:trHeight w:val="431" w:hRule="atLeast"/>
        </w:trPr>
        <w:tc>
          <w:tcPr>
            <w:tcW w:w="290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Председатель комиссии</w:t>
            </w:r>
          </w:p>
        </w:tc>
        <w:tc>
          <w:tcPr>
            <w:tcW w:w="497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Кузнецова Юлия Геннадьевна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>
          <w:trHeight w:val="35" w:hRule="atLeast"/>
        </w:trPr>
        <w:tc>
          <w:tcPr>
            <w:tcW w:w="290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Заместитель председателя комиссии</w:t>
            </w:r>
          </w:p>
        </w:tc>
        <w:tc>
          <w:tcPr>
            <w:tcW w:w="497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Никулина Виктория Васильевна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>
          <w:trHeight w:val="473" w:hRule="atLeast"/>
        </w:trPr>
        <w:tc>
          <w:tcPr>
            <w:tcW w:w="290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Котт Артём Геннадьевич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>
          <w:trHeight w:val="421" w:hRule="atLeast"/>
        </w:trPr>
        <w:tc>
          <w:tcPr>
            <w:tcW w:w="290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Селютина Светлана Витальевна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>
          <w:trHeight w:val="35" w:hRule="atLeast"/>
        </w:trPr>
        <w:tc>
          <w:tcPr>
            <w:tcW w:w="290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Яковлева Надежда Геннадьевна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>
          <w:trHeight w:val="469" w:hRule="atLeast"/>
        </w:trPr>
        <w:tc>
          <w:tcPr>
            <w:tcW w:w="290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Секретарь комиссии</w:t>
            </w:r>
          </w:p>
        </w:tc>
        <w:tc>
          <w:tcPr>
            <w:tcW w:w="497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Скулько Александра Владимировна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</w:tbl>
    <w:p>
      <w:pPr>
        <w:pStyle w:val="tex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40"/>
  <w:displayBackgroundShape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bidi="ru-RU" w:eastAsia="zh-C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Style11">
    <w:name w:val="Основной шрифт абзаца"/>
    <w:qFormat/>
    <w:rPr/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Style12">
    <w:name w:val="Красная строка"/>
    <w:basedOn w:val="BodyText"/>
    <w:qFormat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Style13">
    <w:name w:val="Название объекта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bidi="ru-RU" w:eastAsia="zh-CN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Style13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2025-12-15T06:32:00Z</dcterms:created>
  <dc:creator/>
  <dc:description/>
  <cp:keywords/>
  <dc:language>en-US</dc:language>
  <cp:lastModifiedBy>Алина Матвеевна Щавровская</cp:lastModifiedBy>
  <dcterms:modified xsi:type="dcterms:W3CDTF">2025-12-15T06:34:00Z</dcterms:modified>
  <cp:revision>2</cp:revision>
  <dc:subject/>
  <dc:title/>
</cp:coreProperties>
</file>