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b/>
          <w:sz w:val="22"/>
          <w:szCs w:val="22"/>
        </w:rPr>
      </w:pPr>
      <w:r>
        <w:rPr>
          <w:b/>
          <w:sz w:val="22"/>
          <w:szCs w:val="22"/>
        </w:rPr>
        <w:t>Протокол №4</w:t>
      </w:r>
    </w:p>
    <w:p>
      <w:pPr>
        <w:pStyle w:val="Normal"/>
        <w:jc w:val="center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ПОДВЕДЕНИЯ ИТОГОВ КОНКУРСА </w:t>
      </w:r>
      <w:r>
        <w:rPr>
          <w:b/>
          <w:bCs/>
          <w:sz w:val="22"/>
          <w:szCs w:val="22"/>
        </w:rPr>
        <w:t>№20/11/2025</w:t>
      </w:r>
    </w:p>
    <w:p>
      <w:pPr>
        <w:pStyle w:val="Normal"/>
        <w:jc w:val="center"/>
        <w:rPr>
          <w:sz w:val="22"/>
          <w:szCs w:val="22"/>
        </w:rPr>
      </w:pPr>
      <w:r>
        <w:rPr>
          <w:sz w:val="22"/>
          <w:szCs w:val="22"/>
        </w:rPr>
        <w:t>на право заключения договора на техническое обслуживание и текущий ремонт лифтов в жилых домах, обслуживаемых ООО «ЖКС № 3 Красногвардейского района»</w:t>
      </w:r>
    </w:p>
    <w:p>
      <w:pPr>
        <w:pStyle w:val="Normal"/>
        <w:ind w:firstLine="540" w:end="0"/>
        <w:jc w:val="center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jc w:val="center"/>
        <w:rPr>
          <w:sz w:val="22"/>
          <w:szCs w:val="22"/>
        </w:rPr>
      </w:pPr>
      <w:r>
        <w:rPr>
          <w:sz w:val="22"/>
          <w:szCs w:val="22"/>
        </w:rPr>
        <w:t>г. Санкт-Петербург</w:t>
        <w:tab/>
        <w:tab/>
        <w:tab/>
        <w:tab/>
        <w:tab/>
        <w:tab/>
        <w:tab/>
        <w:tab/>
        <w:t xml:space="preserve">          «15» декабря 2025 г.</w:t>
      </w:r>
    </w:p>
    <w:p>
      <w:pPr>
        <w:pStyle w:val="Normal"/>
        <w:jc w:val="both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ind w:firstLine="708" w:end="0"/>
        <w:jc w:val="both"/>
        <w:rPr/>
      </w:pPr>
      <w:r>
        <w:rPr>
          <w:sz w:val="22"/>
          <w:szCs w:val="22"/>
        </w:rPr>
        <w:t xml:space="preserve">Информация и документация о проведении настоящего конкурса были размещены на официальном сайте </w:t>
      </w:r>
      <w:hyperlink r:id="rId2">
        <w:r>
          <w:rPr>
            <w:rStyle w:val="Hyperlink"/>
            <w:sz w:val="22"/>
            <w:szCs w:val="22"/>
            <w:lang w:val="en-US"/>
          </w:rPr>
          <w:t>www</w:t>
        </w:r>
        <w:r>
          <w:rPr>
            <w:rStyle w:val="Hyperlink"/>
            <w:sz w:val="22"/>
            <w:szCs w:val="22"/>
          </w:rPr>
          <w:t>.</w:t>
        </w:r>
        <w:r>
          <w:rPr>
            <w:rStyle w:val="Hyperlink"/>
            <w:sz w:val="22"/>
            <w:szCs w:val="22"/>
            <w:lang w:val="en-US"/>
          </w:rPr>
          <w:t>zakupki</w:t>
        </w:r>
        <w:r>
          <w:rPr>
            <w:rStyle w:val="Hyperlink"/>
            <w:sz w:val="22"/>
            <w:szCs w:val="22"/>
          </w:rPr>
          <w:t>.</w:t>
        </w:r>
        <w:r>
          <w:rPr>
            <w:rStyle w:val="Hyperlink"/>
            <w:sz w:val="22"/>
            <w:szCs w:val="22"/>
            <w:lang w:val="en-US"/>
          </w:rPr>
          <w:t>gov</w:t>
        </w:r>
        <w:r>
          <w:rPr>
            <w:rStyle w:val="Hyperlink"/>
            <w:sz w:val="22"/>
            <w:szCs w:val="22"/>
          </w:rPr>
          <w:t>.</w:t>
        </w:r>
        <w:r>
          <w:rPr>
            <w:rStyle w:val="Hyperlink"/>
            <w:sz w:val="22"/>
            <w:szCs w:val="22"/>
            <w:lang w:val="en-US"/>
          </w:rPr>
          <w:t>ru</w:t>
        </w:r>
      </w:hyperlink>
      <w:r>
        <w:rPr>
          <w:sz w:val="22"/>
          <w:szCs w:val="22"/>
        </w:rPr>
        <w:t xml:space="preserve"> «29» ноября 2025 г., номер извещения: 32515468925.</w:t>
      </w:r>
    </w:p>
    <w:p>
      <w:pPr>
        <w:pStyle w:val="Normal"/>
        <w:jc w:val="both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ind w:end="-5"/>
        <w:jc w:val="both"/>
        <w:rPr/>
      </w:pPr>
      <w:r>
        <w:rPr>
          <w:b/>
          <w:sz w:val="22"/>
          <w:szCs w:val="22"/>
        </w:rPr>
        <w:t>Дата и время окончания срока подачи заявок на участие в конкурсе:</w:t>
      </w:r>
    </w:p>
    <w:p>
      <w:pPr>
        <w:pStyle w:val="Normal"/>
        <w:ind w:end="-5"/>
        <w:jc w:val="both"/>
        <w:rPr>
          <w:sz w:val="22"/>
          <w:szCs w:val="22"/>
        </w:rPr>
      </w:pPr>
      <w:r>
        <w:rPr>
          <w:sz w:val="22"/>
          <w:szCs w:val="22"/>
        </w:rPr>
        <w:t>09.30 (по Московскому времени) «15» декабря 2025 г.</w:t>
      </w:r>
    </w:p>
    <w:p>
      <w:pPr>
        <w:pStyle w:val="Normal"/>
        <w:ind w:end="-5"/>
        <w:jc w:val="both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Normal"/>
        <w:ind w:end="-5"/>
        <w:jc w:val="both"/>
        <w:rPr/>
      </w:pPr>
      <w:r>
        <w:rPr>
          <w:b/>
          <w:sz w:val="22"/>
          <w:szCs w:val="22"/>
        </w:rPr>
        <w:t>Дата и время вскрытия заявок, поданных на участие в конкурсе:</w:t>
      </w:r>
    </w:p>
    <w:p>
      <w:pPr>
        <w:pStyle w:val="Normal"/>
        <w:ind w:end="-5"/>
        <w:jc w:val="both"/>
        <w:rPr>
          <w:iCs/>
          <w:sz w:val="22"/>
          <w:szCs w:val="22"/>
        </w:rPr>
      </w:pPr>
      <w:r>
        <w:rPr>
          <w:sz w:val="22"/>
          <w:szCs w:val="22"/>
        </w:rPr>
        <w:t>11.30 (по Московскому времени) «15» декабря 2025 г.</w:t>
      </w:r>
    </w:p>
    <w:p>
      <w:pPr>
        <w:pStyle w:val="Normal"/>
        <w:ind w:end="-5"/>
        <w:jc w:val="both"/>
        <w:rPr>
          <w:b/>
          <w:iCs/>
          <w:sz w:val="22"/>
          <w:szCs w:val="22"/>
        </w:rPr>
      </w:pPr>
      <w:r>
        <w:rPr>
          <w:b/>
          <w:iCs/>
          <w:sz w:val="22"/>
          <w:szCs w:val="22"/>
        </w:rPr>
      </w:r>
    </w:p>
    <w:p>
      <w:pPr>
        <w:pStyle w:val="Normal"/>
        <w:jc w:val="both"/>
        <w:rPr>
          <w:b/>
          <w:sz w:val="22"/>
          <w:szCs w:val="22"/>
        </w:rPr>
      </w:pPr>
      <w:r>
        <w:rPr>
          <w:b/>
          <w:sz w:val="22"/>
          <w:szCs w:val="22"/>
        </w:rPr>
        <w:t>Дата и время рассмотрения заявок, поданных на участие в конкурсе:</w:t>
      </w:r>
    </w:p>
    <w:p>
      <w:pPr>
        <w:pStyle w:val="Normal"/>
        <w:jc w:val="both"/>
        <w:rPr>
          <w:iCs/>
          <w:sz w:val="22"/>
          <w:szCs w:val="22"/>
        </w:rPr>
      </w:pPr>
      <w:r>
        <w:rPr>
          <w:sz w:val="22"/>
          <w:szCs w:val="22"/>
        </w:rPr>
        <w:t>11.30 (по Московскому времени) «15» декабря 2025 г.</w:t>
      </w:r>
    </w:p>
    <w:p>
      <w:pPr>
        <w:pStyle w:val="Normal"/>
        <w:ind w:end="-5"/>
        <w:jc w:val="both"/>
        <w:rPr>
          <w:b/>
          <w:iCs/>
          <w:sz w:val="22"/>
          <w:szCs w:val="22"/>
        </w:rPr>
      </w:pPr>
      <w:r>
        <w:rPr>
          <w:b/>
          <w:iCs/>
          <w:sz w:val="22"/>
          <w:szCs w:val="22"/>
        </w:rPr>
      </w:r>
    </w:p>
    <w:p>
      <w:pPr>
        <w:pStyle w:val="Normal"/>
        <w:ind w:end="-5"/>
        <w:jc w:val="both"/>
        <w:rPr/>
      </w:pPr>
      <w:r>
        <w:rPr>
          <w:b/>
          <w:sz w:val="22"/>
          <w:szCs w:val="22"/>
        </w:rPr>
        <w:t>Дата и время подведения итогов конкурса:</w:t>
      </w:r>
    </w:p>
    <w:p>
      <w:pPr>
        <w:pStyle w:val="Normal"/>
        <w:jc w:val="both"/>
        <w:rPr>
          <w:iCs/>
          <w:sz w:val="22"/>
          <w:szCs w:val="22"/>
        </w:rPr>
      </w:pPr>
      <w:r>
        <w:rPr>
          <w:iCs/>
          <w:sz w:val="22"/>
          <w:szCs w:val="22"/>
        </w:rPr>
        <w:t>15.00 (по Московскому времени) «15» декабря 2025 г.</w:t>
      </w:r>
    </w:p>
    <w:p>
      <w:pPr>
        <w:pStyle w:val="Normal"/>
        <w:jc w:val="both"/>
        <w:rPr>
          <w:iCs/>
          <w:sz w:val="22"/>
          <w:szCs w:val="22"/>
        </w:rPr>
      </w:pPr>
      <w:r>
        <w:rPr>
          <w:iCs/>
          <w:sz w:val="22"/>
          <w:szCs w:val="22"/>
        </w:rPr>
      </w:r>
    </w:p>
    <w:p>
      <w:pPr>
        <w:pStyle w:val="Normal"/>
        <w:jc w:val="both"/>
        <w:rPr>
          <w:sz w:val="22"/>
          <w:szCs w:val="22"/>
        </w:rPr>
      </w:pPr>
      <w:r>
        <w:rPr>
          <w:b/>
          <w:sz w:val="22"/>
          <w:szCs w:val="22"/>
        </w:rPr>
        <w:t>Заказчик:</w:t>
      </w:r>
      <w:r>
        <w:rPr>
          <w:sz w:val="22"/>
          <w:szCs w:val="22"/>
        </w:rPr>
        <w:t xml:space="preserve"> Общество с ограниченной ответственностью «Жилкомсервис № 3 Красногвардейского района», 195176, г. Санкт-Петербург, пр. Металлистов, д. 19/30</w:t>
      </w:r>
    </w:p>
    <w:p>
      <w:pPr>
        <w:pStyle w:val="Normal"/>
        <w:jc w:val="both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rPr>
          <w:b/>
          <w:sz w:val="22"/>
          <w:szCs w:val="22"/>
        </w:rPr>
      </w:pPr>
      <w:r>
        <w:rPr>
          <w:b/>
          <w:sz w:val="22"/>
          <w:szCs w:val="22"/>
        </w:rPr>
        <w:t>Конкурсная комиссия в составе:</w:t>
      </w:r>
    </w:p>
    <w:p>
      <w:pPr>
        <w:pStyle w:val="Normal"/>
        <w:rPr>
          <w:sz w:val="22"/>
          <w:szCs w:val="22"/>
        </w:rPr>
      </w:pPr>
      <w:r>
        <w:rPr>
          <w:sz w:val="22"/>
          <w:szCs w:val="22"/>
        </w:rPr>
        <w:t>Председатель комиссии:</w:t>
        <w:tab/>
        <w:tab/>
      </w:r>
      <w:r>
        <w:rPr>
          <w:color w:val="000000"/>
          <w:sz w:val="22"/>
          <w:szCs w:val="22"/>
        </w:rPr>
        <w:t>Соболева О.И.</w:t>
      </w:r>
    </w:p>
    <w:p>
      <w:pPr>
        <w:pStyle w:val="Normal"/>
        <w:rPr>
          <w:color w:val="000000"/>
          <w:sz w:val="22"/>
          <w:szCs w:val="22"/>
        </w:rPr>
      </w:pPr>
      <w:r>
        <w:rPr>
          <w:sz w:val="22"/>
          <w:szCs w:val="22"/>
        </w:rPr>
        <w:t>Члены комиссии:</w:t>
        <w:tab/>
        <w:tab/>
        <w:tab/>
      </w:r>
      <w:r>
        <w:rPr>
          <w:color w:val="000000"/>
          <w:sz w:val="22"/>
          <w:szCs w:val="22"/>
        </w:rPr>
        <w:t>1. Быстров В.В.</w:t>
      </w:r>
    </w:p>
    <w:p>
      <w:pPr>
        <w:pStyle w:val="Normal"/>
        <w:ind w:firstLine="708" w:start="2832" w:end="0"/>
        <w:rPr>
          <w:sz w:val="22"/>
          <w:szCs w:val="22"/>
        </w:rPr>
      </w:pPr>
      <w:r>
        <w:rPr>
          <w:color w:val="000000"/>
          <w:sz w:val="22"/>
          <w:szCs w:val="22"/>
        </w:rPr>
        <w:t>2. Зенкевич К.П.</w:t>
      </w:r>
    </w:p>
    <w:p>
      <w:pPr>
        <w:pStyle w:val="Normal"/>
        <w:ind w:firstLine="720" w:start="2160" w:end="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widowControl w:val="false"/>
        <w:jc w:val="both"/>
        <w:rPr/>
      </w:pPr>
      <w:r>
        <w:rPr>
          <w:b/>
          <w:sz w:val="22"/>
          <w:szCs w:val="22"/>
        </w:rPr>
        <w:t>Наименование конкурса:</w:t>
      </w:r>
    </w:p>
    <w:p>
      <w:pPr>
        <w:pStyle w:val="Normal"/>
        <w:ind w:firstLine="708" w:end="0"/>
        <w:jc w:val="both"/>
        <w:rPr>
          <w:sz w:val="22"/>
          <w:szCs w:val="22"/>
        </w:rPr>
      </w:pPr>
      <w:r>
        <w:rPr>
          <w:bCs/>
          <w:sz w:val="22"/>
          <w:szCs w:val="22"/>
        </w:rPr>
        <w:t>Техническое обслуживание и текущий ремонт лифтов в жилых домах, обслуживаемых ООО «ЖКС № 3 Красногвардейского района».</w:t>
      </w:r>
    </w:p>
    <w:p>
      <w:pPr>
        <w:pStyle w:val="Normal"/>
        <w:jc w:val="both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Метод формирования начальной (максимальная) цена договора (ЛОТа): </w:t>
      </w:r>
      <w:r>
        <w:rPr>
          <w:sz w:val="22"/>
          <w:szCs w:val="22"/>
        </w:rPr>
        <w:t>Тарифный метод.</w:t>
      </w:r>
    </w:p>
    <w:p>
      <w:pPr>
        <w:pStyle w:val="Normal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Normal"/>
        <w:rPr>
          <w:b/>
          <w:sz w:val="22"/>
          <w:szCs w:val="22"/>
        </w:rPr>
      </w:pPr>
      <w:r>
        <w:rPr>
          <w:b/>
          <w:sz w:val="22"/>
          <w:szCs w:val="22"/>
        </w:rPr>
        <w:t>Начальная (максимальная) цена договора (ЛОТа):</w:t>
      </w:r>
    </w:p>
    <w:p>
      <w:pPr>
        <w:pStyle w:val="Normal"/>
        <w:ind w:firstLine="708" w:end="0"/>
        <w:rPr>
          <w:sz w:val="22"/>
          <w:szCs w:val="22"/>
        </w:rPr>
      </w:pPr>
      <w:r>
        <w:rPr>
          <w:sz w:val="22"/>
          <w:szCs w:val="22"/>
        </w:rPr>
        <w:t>22790149 (Двадцать два миллиона семьсот девяносто тысяч сто сорок девять) рублей 08 копеек</w:t>
      </w:r>
    </w:p>
    <w:p>
      <w:pPr>
        <w:pStyle w:val="Normal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Heading2"/>
        <w:spacing w:before="0" w:after="0"/>
        <w:ind w:hanging="0" w:start="0"/>
        <w:jc w:val="both"/>
        <w:rPr>
          <w:rFonts w:ascii="Times New Roman" w:hAnsi="Times New Roman" w:cs="Times New Roman"/>
          <w:i w:val="false"/>
          <w:i w:val="false"/>
          <w:sz w:val="22"/>
          <w:szCs w:val="22"/>
        </w:rPr>
      </w:pPr>
      <w:r>
        <w:rPr>
          <w:rFonts w:cs="Times New Roman" w:ascii="Times New Roman" w:hAnsi="Times New Roman"/>
          <w:i w:val="false"/>
          <w:sz w:val="22"/>
          <w:szCs w:val="22"/>
        </w:rPr>
        <w:t>СЛУШАЛИ</w:t>
      </w:r>
    </w:p>
    <w:p>
      <w:pPr>
        <w:pStyle w:val="Normal"/>
        <w:ind w:firstLine="708" w:end="0"/>
        <w:jc w:val="both"/>
        <w:rPr>
          <w:sz w:val="22"/>
          <w:szCs w:val="22"/>
        </w:rPr>
      </w:pPr>
      <w:r>
        <w:rPr>
          <w:sz w:val="22"/>
          <w:szCs w:val="22"/>
        </w:rPr>
        <w:t>До окончания срока подачи заявок на участие в конкурсе в адрес заказчика представлено 2 (два) конверта с заявками.</w:t>
      </w:r>
    </w:p>
    <w:p>
      <w:pPr>
        <w:pStyle w:val="Normal"/>
        <w:ind w:firstLine="708" w:end="0"/>
        <w:jc w:val="both"/>
        <w:rPr>
          <w:sz w:val="22"/>
          <w:szCs w:val="22"/>
        </w:rPr>
      </w:pPr>
      <w:r>
        <w:rPr>
          <w:b/>
          <w:sz w:val="22"/>
          <w:szCs w:val="22"/>
        </w:rPr>
        <w:t>1)</w:t>
      </w:r>
      <w:r>
        <w:rPr>
          <w:sz w:val="22"/>
          <w:szCs w:val="22"/>
        </w:rPr>
        <w:t xml:space="preserve"> На процедуре вскрытия конвертов с заявками на участие в конкурсе </w:t>
      </w:r>
      <w:r>
        <w:rPr>
          <w:bCs/>
          <w:sz w:val="22"/>
          <w:szCs w:val="22"/>
        </w:rPr>
        <w:t xml:space="preserve">№20/11/2025 </w:t>
      </w:r>
      <w:r>
        <w:rPr>
          <w:sz w:val="22"/>
          <w:szCs w:val="22"/>
        </w:rPr>
        <w:t>на техническое обслуживание и текущий ремонт лифтов в жилых домах, обслуживаемых ООО «ЖКС № 3 Красногвардейского района» были представлены и вскрыты конверты следующих участников:</w:t>
      </w:r>
    </w:p>
    <w:p>
      <w:pPr>
        <w:pStyle w:val="Normal"/>
        <w:ind w:firstLine="708" w:end="0"/>
        <w:jc w:val="both"/>
        <w:rPr>
          <w:sz w:val="22"/>
          <w:szCs w:val="22"/>
        </w:rPr>
      </w:pPr>
      <w:r>
        <w:rPr>
          <w:sz w:val="22"/>
          <w:szCs w:val="22"/>
        </w:rPr>
      </w:r>
    </w:p>
    <w:tbl>
      <w:tblPr>
        <w:tblW w:w="8200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686"/>
        <w:gridCol w:w="4514"/>
      </w:tblGrid>
      <w:tr>
        <w:trPr>
          <w:tblHeader w:val="true"/>
        </w:trPr>
        <w:tc>
          <w:tcPr>
            <w:tcW w:w="36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Порядковый номер заявки</w:t>
            </w:r>
          </w:p>
        </w:tc>
        <w:tc>
          <w:tcPr>
            <w:tcW w:w="45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Дата и время регистрации заявки</w:t>
            </w:r>
          </w:p>
        </w:tc>
      </w:tr>
      <w:tr>
        <w:trPr/>
        <w:tc>
          <w:tcPr>
            <w:tcW w:w="36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</w:p>
          <w:p>
            <w:pPr>
              <w:pStyle w:val="Normal"/>
              <w:jc w:val="center"/>
              <w:rPr/>
            </w:pPr>
            <w:r>
              <w:rPr>
                <w:sz w:val="22"/>
                <w:szCs w:val="22"/>
              </w:rPr>
              <w:t>(50-01)</w:t>
            </w:r>
          </w:p>
        </w:tc>
        <w:tc>
          <w:tcPr>
            <w:tcW w:w="45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sz w:val="22"/>
                <w:szCs w:val="22"/>
              </w:rPr>
              <w:t>12.12.2025</w:t>
            </w:r>
          </w:p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11:29</w:t>
            </w:r>
          </w:p>
        </w:tc>
      </w:tr>
      <w:tr>
        <w:trPr/>
        <w:tc>
          <w:tcPr>
            <w:tcW w:w="36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  <w:p>
            <w:pPr>
              <w:pStyle w:val="Normal"/>
              <w:jc w:val="center"/>
              <w:rPr/>
            </w:pPr>
            <w:r>
              <w:rPr>
                <w:sz w:val="22"/>
                <w:szCs w:val="22"/>
              </w:rPr>
              <w:t>(50-03)</w:t>
            </w:r>
          </w:p>
        </w:tc>
        <w:tc>
          <w:tcPr>
            <w:tcW w:w="45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sz w:val="22"/>
                <w:szCs w:val="22"/>
              </w:rPr>
              <w:t>12.12.2025</w:t>
            </w:r>
          </w:p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14:35</w:t>
            </w:r>
          </w:p>
        </w:tc>
      </w:tr>
    </w:tbl>
    <w:p>
      <w:pPr>
        <w:pStyle w:val="Normal"/>
        <w:jc w:val="both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jc w:val="both"/>
        <w:rPr/>
      </w:pPr>
      <w:r>
        <w:rPr>
          <w:sz w:val="22"/>
          <w:szCs w:val="22"/>
        </w:rPr>
        <w:t>Отозванных заявок нет</w:t>
      </w:r>
      <w:r>
        <w:rPr>
          <w:sz w:val="22"/>
          <w:szCs w:val="22"/>
        </w:rPr>
        <w:t>.</w:t>
      </w:r>
    </w:p>
    <w:p>
      <w:pPr>
        <w:pStyle w:val="Normal"/>
        <w:jc w:val="both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Normal"/>
        <w:jc w:val="both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Normal"/>
        <w:jc w:val="both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Normal"/>
        <w:jc w:val="both"/>
        <w:rPr/>
      </w:pPr>
      <w:r>
        <w:rPr>
          <w:b/>
          <w:sz w:val="22"/>
          <w:szCs w:val="22"/>
        </w:rPr>
        <w:t>2)</w:t>
      </w:r>
      <w:r>
        <w:rPr>
          <w:sz w:val="22"/>
          <w:szCs w:val="22"/>
        </w:rPr>
        <w:t xml:space="preserve"> Подведение итогов среди участников допущенных до участия в конкурсе:</w:t>
      </w:r>
    </w:p>
    <w:p>
      <w:pPr>
        <w:pStyle w:val="Normal"/>
        <w:jc w:val="both"/>
        <w:rPr/>
      </w:pPr>
      <w:r>
        <w:rPr>
          <w:b/>
          <w:sz w:val="22"/>
          <w:szCs w:val="22"/>
        </w:rPr>
        <w:t>2.1)</w:t>
      </w:r>
      <w:r>
        <w:rPr/>
        <w:t xml:space="preserve"> Цена и нестоимостные показатели (квалификация участников):</w:t>
      </w:r>
    </w:p>
    <w:tbl>
      <w:tblPr>
        <w:tblW w:w="9608" w:type="dxa"/>
        <w:jc w:val="center"/>
        <w:tblInd w:w="0" w:type="dxa"/>
        <w:tblLayout w:type="fixed"/>
        <w:tblCellMar>
          <w:top w:w="0" w:type="dxa"/>
          <w:start w:w="57" w:type="dxa"/>
          <w:bottom w:w="0" w:type="dxa"/>
          <w:end w:w="57" w:type="dxa"/>
        </w:tblCellMar>
      </w:tblPr>
      <w:tblGrid>
        <w:gridCol w:w="6147"/>
        <w:gridCol w:w="1757"/>
        <w:gridCol w:w="1704"/>
      </w:tblGrid>
      <w:tr>
        <w:trPr>
          <w:tblHeader w:val="true"/>
        </w:trPr>
        <w:tc>
          <w:tcPr>
            <w:tcW w:w="61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contextualSpacing/>
              <w:jc w:val="both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Порядковый номер заявки</w:t>
            </w:r>
          </w:p>
        </w:tc>
        <w:tc>
          <w:tcPr>
            <w:tcW w:w="17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Lines/>
              <w:spacing w:before="0" w:after="0"/>
              <w:contextualSpacing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</w:t>
            </w:r>
          </w:p>
          <w:p>
            <w:pPr>
              <w:pStyle w:val="Normal"/>
              <w:keepLines/>
              <w:spacing w:before="0" w:after="0"/>
              <w:contextualSpacing/>
              <w:jc w:val="center"/>
              <w:rPr>
                <w:b/>
                <w:sz w:val="22"/>
                <w:szCs w:val="22"/>
              </w:rPr>
            </w:pPr>
            <w:r>
              <w:rPr>
                <w:sz w:val="22"/>
                <w:szCs w:val="22"/>
              </w:rPr>
              <w:t>(50-01)</w:t>
            </w:r>
          </w:p>
        </w:tc>
        <w:tc>
          <w:tcPr>
            <w:tcW w:w="17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Lines/>
              <w:spacing w:before="0" w:after="0"/>
              <w:contextualSpacing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2</w:t>
            </w:r>
          </w:p>
          <w:p>
            <w:pPr>
              <w:pStyle w:val="Normal"/>
              <w:keepLines/>
              <w:spacing w:before="0" w:after="0"/>
              <w:contextualSpacing/>
              <w:jc w:val="center"/>
              <w:rPr>
                <w:b/>
                <w:sz w:val="22"/>
                <w:szCs w:val="22"/>
              </w:rPr>
            </w:pPr>
            <w:r>
              <w:rPr>
                <w:sz w:val="22"/>
                <w:szCs w:val="22"/>
              </w:rPr>
              <w:t>(50-03)</w:t>
            </w:r>
          </w:p>
        </w:tc>
      </w:tr>
      <w:tr>
        <w:trPr/>
        <w:tc>
          <w:tcPr>
            <w:tcW w:w="61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</w:tcPr>
          <w:p>
            <w:pPr>
              <w:pStyle w:val="Normal"/>
              <w:snapToGrid w:val="false"/>
              <w:spacing w:before="0" w:after="0"/>
              <w:contextualSpacing/>
              <w:jc w:val="both"/>
              <w:rPr>
                <w:b/>
                <w:i/>
                <w:i/>
                <w:sz w:val="22"/>
                <w:szCs w:val="22"/>
              </w:rPr>
            </w:pPr>
            <w:r>
              <w:rPr>
                <w:b/>
                <w:i/>
                <w:sz w:val="22"/>
                <w:szCs w:val="22"/>
              </w:rPr>
            </w:r>
          </w:p>
          <w:p>
            <w:pPr>
              <w:pStyle w:val="Normal"/>
              <w:spacing w:before="0" w:after="0"/>
              <w:contextualSpacing/>
              <w:jc w:val="both"/>
              <w:rPr>
                <w:i/>
                <w:i/>
                <w:sz w:val="22"/>
                <w:szCs w:val="22"/>
              </w:rPr>
            </w:pPr>
            <w:r>
              <w:rPr>
                <w:b/>
                <w:i/>
                <w:sz w:val="22"/>
                <w:szCs w:val="22"/>
              </w:rPr>
              <w:t>Цена Договора:</w:t>
            </w:r>
          </w:p>
        </w:tc>
        <w:tc>
          <w:tcPr>
            <w:tcW w:w="17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</w:tcPr>
          <w:p>
            <w:pPr>
              <w:pStyle w:val="Normal"/>
              <w:keepLines/>
              <w:snapToGrid w:val="false"/>
              <w:spacing w:before="0" w:after="0"/>
              <w:contextualSpacing/>
              <w:jc w:val="center"/>
              <w:rPr>
                <w:b/>
                <w:i/>
                <w:i/>
                <w:sz w:val="22"/>
                <w:szCs w:val="22"/>
              </w:rPr>
            </w:pPr>
            <w:r>
              <w:rPr>
                <w:b/>
                <w:i/>
                <w:sz w:val="22"/>
                <w:szCs w:val="22"/>
              </w:rPr>
            </w:r>
          </w:p>
          <w:p>
            <w:pPr>
              <w:pStyle w:val="Normal"/>
              <w:keepLines/>
              <w:spacing w:before="0" w:after="0"/>
              <w:contextualSpacing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Баллы</w:t>
            </w:r>
          </w:p>
        </w:tc>
        <w:tc>
          <w:tcPr>
            <w:tcW w:w="17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</w:tcPr>
          <w:p>
            <w:pPr>
              <w:pStyle w:val="Normal"/>
              <w:keepLines/>
              <w:snapToGrid w:val="false"/>
              <w:spacing w:before="0" w:after="0"/>
              <w:contextualSpacing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  <w:p>
            <w:pPr>
              <w:pStyle w:val="Normal"/>
              <w:keepLines/>
              <w:spacing w:before="0" w:after="0"/>
              <w:contextualSpacing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Баллы</w:t>
            </w:r>
          </w:p>
        </w:tc>
      </w:tr>
      <w:tr>
        <w:trPr/>
        <w:tc>
          <w:tcPr>
            <w:tcW w:w="61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contextualSpacing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Цена Договора, баллы</w:t>
            </w:r>
          </w:p>
        </w:tc>
        <w:tc>
          <w:tcPr>
            <w:tcW w:w="17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contextualSpacing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100,00</w:t>
            </w:r>
          </w:p>
          <w:p>
            <w:pPr>
              <w:pStyle w:val="Normal"/>
              <w:spacing w:before="0" w:after="0"/>
              <w:contextualSpacing/>
              <w:jc w:val="center"/>
              <w:rPr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(15 985 195,92 руб.)</w:t>
            </w:r>
          </w:p>
        </w:tc>
        <w:tc>
          <w:tcPr>
            <w:tcW w:w="17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contextualSpacing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75,40</w:t>
            </w:r>
          </w:p>
          <w:p>
            <w:pPr>
              <w:pStyle w:val="Normal"/>
              <w:spacing w:before="0" w:after="0"/>
              <w:contextualSpacing/>
              <w:jc w:val="center"/>
              <w:rPr/>
            </w:pPr>
            <w:r>
              <w:rPr>
                <w:sz w:val="18"/>
                <w:szCs w:val="18"/>
              </w:rPr>
              <w:t>(</w:t>
            </w:r>
            <w:r>
              <w:rPr>
                <w:bCs/>
                <w:sz w:val="18"/>
                <w:szCs w:val="18"/>
              </w:rPr>
              <w:t>21 199 410,00 руб.</w:t>
            </w:r>
            <w:r>
              <w:rPr>
                <w:sz w:val="18"/>
                <w:szCs w:val="18"/>
              </w:rPr>
              <w:t>)</w:t>
            </w:r>
          </w:p>
        </w:tc>
      </w:tr>
      <w:tr>
        <w:trPr/>
        <w:tc>
          <w:tcPr>
            <w:tcW w:w="61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contextualSpacing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Цена Договора, баллы с учетом значимости показателя (</w:t>
            </w:r>
            <w:r>
              <w:rPr>
                <w:b/>
                <w:i/>
                <w:sz w:val="22"/>
                <w:szCs w:val="22"/>
              </w:rPr>
              <w:t>КЗ</w:t>
            </w:r>
            <w:r>
              <w:rPr>
                <w:b/>
                <w:sz w:val="22"/>
                <w:szCs w:val="22"/>
              </w:rPr>
              <w:t>=1,00</w:t>
            </w:r>
            <w:r>
              <w:rPr>
                <w:sz w:val="22"/>
                <w:szCs w:val="22"/>
              </w:rPr>
              <w:t xml:space="preserve">) и значимости критерия </w:t>
            </w:r>
            <w:r>
              <w:rPr>
                <w:b/>
                <w:sz w:val="22"/>
                <w:szCs w:val="22"/>
              </w:rPr>
              <w:t>(25%)</w:t>
            </w:r>
          </w:p>
        </w:tc>
        <w:tc>
          <w:tcPr>
            <w:tcW w:w="17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contextualSpacing/>
              <w:jc w:val="center"/>
              <w:rPr/>
            </w:pPr>
            <w:r>
              <w:rPr>
                <w:b/>
                <w:sz w:val="22"/>
                <w:szCs w:val="22"/>
              </w:rPr>
              <w:t>25,00</w:t>
            </w:r>
          </w:p>
        </w:tc>
        <w:tc>
          <w:tcPr>
            <w:tcW w:w="17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contextualSpacing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18,85</w:t>
            </w:r>
          </w:p>
        </w:tc>
      </w:tr>
      <w:tr>
        <w:trPr/>
        <w:tc>
          <w:tcPr>
            <w:tcW w:w="61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</w:tcPr>
          <w:p>
            <w:pPr>
              <w:pStyle w:val="Normal"/>
              <w:keepNext w:val="true"/>
              <w:keepLines/>
              <w:snapToGrid w:val="false"/>
              <w:spacing w:before="0" w:after="0"/>
              <w:contextualSpacing/>
              <w:rPr>
                <w:b/>
                <w:i/>
                <w:i/>
                <w:sz w:val="22"/>
                <w:szCs w:val="22"/>
              </w:rPr>
            </w:pPr>
            <w:r>
              <w:rPr>
                <w:b/>
                <w:i/>
                <w:sz w:val="22"/>
                <w:szCs w:val="22"/>
              </w:rPr>
            </w:r>
          </w:p>
          <w:p>
            <w:pPr>
              <w:pStyle w:val="Normal"/>
              <w:keepNext w:val="true"/>
              <w:keepLines/>
              <w:spacing w:before="0" w:after="0"/>
              <w:contextualSpacing/>
              <w:rPr>
                <w:b/>
                <w:i/>
                <w:i/>
                <w:sz w:val="22"/>
                <w:szCs w:val="22"/>
              </w:rPr>
            </w:pPr>
            <w:r>
              <w:rPr>
                <w:b/>
                <w:i/>
                <w:sz w:val="22"/>
                <w:szCs w:val="22"/>
              </w:rPr>
              <w:t>Нестоимостные показатели:</w:t>
            </w:r>
          </w:p>
        </w:tc>
        <w:tc>
          <w:tcPr>
            <w:tcW w:w="17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</w:tcPr>
          <w:p>
            <w:pPr>
              <w:pStyle w:val="Normal"/>
              <w:keepNext w:val="true"/>
              <w:keepLines/>
              <w:snapToGrid w:val="false"/>
              <w:spacing w:before="0" w:after="0"/>
              <w:contextualSpacing/>
              <w:jc w:val="center"/>
              <w:rPr>
                <w:b/>
                <w:i/>
                <w:i/>
                <w:sz w:val="22"/>
                <w:szCs w:val="22"/>
              </w:rPr>
            </w:pPr>
            <w:r>
              <w:rPr>
                <w:b/>
                <w:i/>
                <w:sz w:val="22"/>
                <w:szCs w:val="22"/>
              </w:rPr>
            </w:r>
          </w:p>
          <w:p>
            <w:pPr>
              <w:pStyle w:val="Normal"/>
              <w:keepNext w:val="true"/>
              <w:keepLines/>
              <w:spacing w:before="0" w:after="0"/>
              <w:contextualSpacing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Баллы</w:t>
            </w:r>
          </w:p>
        </w:tc>
        <w:tc>
          <w:tcPr>
            <w:tcW w:w="17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</w:tcPr>
          <w:p>
            <w:pPr>
              <w:pStyle w:val="Normal"/>
              <w:keepNext w:val="true"/>
              <w:keepLines/>
              <w:snapToGrid w:val="false"/>
              <w:spacing w:before="0" w:after="0"/>
              <w:contextualSpacing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  <w:p>
            <w:pPr>
              <w:pStyle w:val="Normal"/>
              <w:keepNext w:val="true"/>
              <w:keepLines/>
              <w:spacing w:before="0" w:after="0"/>
              <w:contextualSpacing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Баллы</w:t>
            </w:r>
          </w:p>
        </w:tc>
      </w:tr>
      <w:tr>
        <w:trPr/>
        <w:tc>
          <w:tcPr>
            <w:tcW w:w="61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22"/>
                <w:szCs w:val="22"/>
              </w:rPr>
              <w:t>Опыт оказания услуг (выполнения работ), сопоставимого предмету конкурса характера, выраженный в годах, (единица измерения – календарный год).</w:t>
            </w:r>
          </w:p>
        </w:tc>
        <w:tc>
          <w:tcPr>
            <w:tcW w:w="17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before="0" w:after="0"/>
              <w:contextualSpacing/>
              <w:jc w:val="center"/>
              <w:rPr/>
            </w:pPr>
            <w:r>
              <w:rPr>
                <w:bCs/>
                <w:sz w:val="22"/>
                <w:szCs w:val="22"/>
              </w:rPr>
              <w:t>10,00</w:t>
            </w:r>
          </w:p>
          <w:p>
            <w:pPr>
              <w:pStyle w:val="Normal"/>
              <w:keepNext w:val="true"/>
              <w:keepLines/>
              <w:spacing w:before="0" w:after="0"/>
              <w:contextualSpacing/>
              <w:jc w:val="center"/>
              <w:rPr>
                <w:bCs/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(5 лет)</w:t>
            </w:r>
          </w:p>
        </w:tc>
        <w:tc>
          <w:tcPr>
            <w:tcW w:w="17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before="0" w:after="0"/>
              <w:contextualSpacing/>
              <w:jc w:val="center"/>
              <w:rPr/>
            </w:pPr>
            <w:r>
              <w:rPr>
                <w:bCs/>
                <w:sz w:val="22"/>
                <w:szCs w:val="22"/>
              </w:rPr>
              <w:t>10,00</w:t>
            </w:r>
          </w:p>
          <w:p>
            <w:pPr>
              <w:pStyle w:val="Normal"/>
              <w:keepNext w:val="true"/>
              <w:keepLines/>
              <w:spacing w:before="0" w:after="0"/>
              <w:contextualSpacing/>
              <w:jc w:val="center"/>
              <w:rPr>
                <w:bCs/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(5 лет)</w:t>
            </w:r>
          </w:p>
        </w:tc>
      </w:tr>
      <w:tr>
        <w:trPr/>
        <w:tc>
          <w:tcPr>
            <w:tcW w:w="61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Периодичность оплаты оказанных услуг (выполненных работ), согласно п.5.2. проекта Договора, (единица измерения – календарный период).</w:t>
            </w:r>
          </w:p>
        </w:tc>
        <w:tc>
          <w:tcPr>
            <w:tcW w:w="17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before="0" w:after="0"/>
              <w:contextualSpacing/>
              <w:jc w:val="center"/>
              <w:rPr/>
            </w:pPr>
            <w:r>
              <w:rPr>
                <w:bCs/>
                <w:sz w:val="22"/>
                <w:szCs w:val="22"/>
              </w:rPr>
              <w:t>3,00</w:t>
            </w:r>
          </w:p>
          <w:p>
            <w:pPr>
              <w:pStyle w:val="Normal"/>
              <w:keepNext w:val="true"/>
              <w:keepLines/>
              <w:spacing w:before="0" w:after="0"/>
              <w:contextualSpacing/>
              <w:jc w:val="center"/>
              <w:rPr>
                <w:bCs/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(ежемесячно)</w:t>
            </w:r>
          </w:p>
        </w:tc>
        <w:tc>
          <w:tcPr>
            <w:tcW w:w="17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before="0" w:after="0"/>
              <w:contextualSpacing/>
              <w:jc w:val="center"/>
              <w:rPr/>
            </w:pPr>
            <w:r>
              <w:rPr>
                <w:bCs/>
                <w:sz w:val="22"/>
                <w:szCs w:val="22"/>
              </w:rPr>
              <w:t>3,00</w:t>
            </w:r>
          </w:p>
          <w:p>
            <w:pPr>
              <w:pStyle w:val="Normal"/>
              <w:keepNext w:val="true"/>
              <w:keepLines/>
              <w:spacing w:before="0" w:after="0"/>
              <w:contextualSpacing/>
              <w:jc w:val="center"/>
              <w:rPr>
                <w:bCs/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(ежемесячно)</w:t>
            </w:r>
          </w:p>
        </w:tc>
      </w:tr>
      <w:tr>
        <w:trPr/>
        <w:tc>
          <w:tcPr>
            <w:tcW w:w="61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Величина неустойки (пени) за нарушения согласно пункту 3.4.3. проекта Договора, (единица измерения – %).</w:t>
            </w:r>
          </w:p>
        </w:tc>
        <w:tc>
          <w:tcPr>
            <w:tcW w:w="17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contextualSpacing/>
              <w:jc w:val="center"/>
              <w:rPr>
                <w:bCs/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1,74</w:t>
            </w:r>
          </w:p>
          <w:p>
            <w:pPr>
              <w:pStyle w:val="Normal"/>
              <w:spacing w:before="0" w:after="0"/>
              <w:contextualSpacing/>
              <w:jc w:val="center"/>
              <w:rPr>
                <w:bCs/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(3,0%)</w:t>
            </w:r>
          </w:p>
        </w:tc>
        <w:tc>
          <w:tcPr>
            <w:tcW w:w="17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contextualSpacing/>
              <w:jc w:val="center"/>
              <w:rPr>
                <w:bCs/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0,54</w:t>
            </w:r>
          </w:p>
          <w:p>
            <w:pPr>
              <w:pStyle w:val="Normal"/>
              <w:spacing w:before="0" w:after="0"/>
              <w:contextualSpacing/>
              <w:jc w:val="center"/>
              <w:rPr>
                <w:bCs/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(1,0%)</w:t>
            </w:r>
          </w:p>
        </w:tc>
      </w:tr>
      <w:tr>
        <w:trPr/>
        <w:tc>
          <w:tcPr>
            <w:tcW w:w="61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Величина штрафа за каждый факт неисполнения или ненадлежащего исполнения Подрядчиком обязательства, предусмотренного Договором, которое не имеет стоимостного выражения (см.  п.7.6. проекта Договора), (единица измерения – российский рубль).</w:t>
            </w:r>
          </w:p>
        </w:tc>
        <w:tc>
          <w:tcPr>
            <w:tcW w:w="17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before="0" w:after="0"/>
              <w:contextualSpacing/>
              <w:jc w:val="center"/>
              <w:rPr>
                <w:bCs/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0,60</w:t>
            </w:r>
          </w:p>
          <w:p>
            <w:pPr>
              <w:pStyle w:val="Normal"/>
              <w:keepNext w:val="true"/>
              <w:keepLines/>
              <w:spacing w:before="0" w:after="0"/>
              <w:contextualSpacing/>
              <w:jc w:val="center"/>
              <w:rPr>
                <w:bCs/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(5 000,00 руб.)</w:t>
            </w:r>
          </w:p>
        </w:tc>
        <w:tc>
          <w:tcPr>
            <w:tcW w:w="17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before="0" w:after="0"/>
              <w:contextualSpacing/>
              <w:jc w:val="center"/>
              <w:rPr>
                <w:bCs/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1,36</w:t>
            </w:r>
          </w:p>
          <w:p>
            <w:pPr>
              <w:pStyle w:val="Normal"/>
              <w:keepNext w:val="true"/>
              <w:keepLines/>
              <w:spacing w:before="0" w:after="0"/>
              <w:contextualSpacing/>
              <w:jc w:val="center"/>
              <w:rPr>
                <w:bCs/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(10 000,00 руб.)</w:t>
            </w:r>
          </w:p>
        </w:tc>
      </w:tr>
      <w:tr>
        <w:trPr/>
        <w:tc>
          <w:tcPr>
            <w:tcW w:w="61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autoSpaceDE w:val="false"/>
              <w:spacing w:before="0" w:after="0"/>
              <w:contextualSpacing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Итого по критерию</w:t>
            </w:r>
          </w:p>
        </w:tc>
        <w:tc>
          <w:tcPr>
            <w:tcW w:w="17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contextualSpacing/>
              <w:jc w:val="center"/>
              <w:rPr>
                <w:bCs/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15,34</w:t>
            </w:r>
          </w:p>
        </w:tc>
        <w:tc>
          <w:tcPr>
            <w:tcW w:w="17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contextualSpacing/>
              <w:jc w:val="center"/>
              <w:rPr>
                <w:bCs/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14,90</w:t>
            </w:r>
          </w:p>
        </w:tc>
      </w:tr>
      <w:tr>
        <w:trPr/>
        <w:tc>
          <w:tcPr>
            <w:tcW w:w="61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contextualSpacing/>
              <w:rPr/>
            </w:pPr>
            <w:r>
              <w:rPr>
                <w:b/>
                <w:sz w:val="22"/>
                <w:szCs w:val="22"/>
              </w:rPr>
              <w:t xml:space="preserve">Итого по критерию с учетом </w:t>
            </w:r>
            <w:r>
              <w:rPr>
                <w:sz w:val="22"/>
                <w:szCs w:val="22"/>
              </w:rPr>
              <w:t xml:space="preserve">значимости критерия </w:t>
            </w:r>
            <w:r>
              <w:rPr>
                <w:b/>
                <w:sz w:val="22"/>
                <w:szCs w:val="22"/>
              </w:rPr>
              <w:t>(75%)</w:t>
            </w:r>
          </w:p>
        </w:tc>
        <w:tc>
          <w:tcPr>
            <w:tcW w:w="17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contextualSpacing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11,51</w:t>
            </w:r>
          </w:p>
        </w:tc>
        <w:tc>
          <w:tcPr>
            <w:tcW w:w="17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contextualSpacing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11,18</w:t>
            </w:r>
          </w:p>
        </w:tc>
      </w:tr>
      <w:tr>
        <w:trPr/>
        <w:tc>
          <w:tcPr>
            <w:tcW w:w="61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contextualSpacing/>
              <w:jc w:val="end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Итоговый результат оценки </w:t>
            </w:r>
          </w:p>
        </w:tc>
        <w:tc>
          <w:tcPr>
            <w:tcW w:w="17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</w:tcPr>
          <w:p>
            <w:pPr>
              <w:pStyle w:val="Normal"/>
              <w:spacing w:before="0" w:after="0"/>
              <w:contextualSpacing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36,51</w:t>
            </w:r>
          </w:p>
        </w:tc>
        <w:tc>
          <w:tcPr>
            <w:tcW w:w="17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</w:tcPr>
          <w:p>
            <w:pPr>
              <w:pStyle w:val="Normal"/>
              <w:spacing w:before="0" w:after="0"/>
              <w:contextualSpacing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30,03</w:t>
            </w:r>
          </w:p>
        </w:tc>
      </w:tr>
      <w:tr>
        <w:trPr/>
        <w:tc>
          <w:tcPr>
            <w:tcW w:w="61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contextualSpacing/>
              <w:jc w:val="end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Рейтинг</w:t>
            </w:r>
          </w:p>
        </w:tc>
        <w:tc>
          <w:tcPr>
            <w:tcW w:w="17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contextualSpacing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1</w:t>
            </w:r>
          </w:p>
        </w:tc>
        <w:tc>
          <w:tcPr>
            <w:tcW w:w="17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contextualSpacing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2</w:t>
            </w:r>
          </w:p>
        </w:tc>
      </w:tr>
    </w:tbl>
    <w:p>
      <w:pPr>
        <w:pStyle w:val="Normal"/>
        <w:jc w:val="both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Normal"/>
        <w:jc w:val="both"/>
        <w:rPr/>
      </w:pPr>
      <w:r>
        <w:rPr>
          <w:b/>
          <w:sz w:val="22"/>
          <w:szCs w:val="22"/>
        </w:rPr>
        <w:t>2.2)</w:t>
      </w:r>
      <w:r>
        <w:rPr>
          <w:sz w:val="22"/>
          <w:szCs w:val="22"/>
        </w:rPr>
        <w:t xml:space="preserve"> Итоги рассмотрения:</w:t>
      </w:r>
    </w:p>
    <w:tbl>
      <w:tblPr>
        <w:tblW w:w="9639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686"/>
        <w:gridCol w:w="2551"/>
        <w:gridCol w:w="3402"/>
      </w:tblGrid>
      <w:tr>
        <w:trPr/>
        <w:tc>
          <w:tcPr>
            <w:tcW w:w="36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Порядковый номер заявки</w:t>
            </w:r>
          </w:p>
        </w:tc>
        <w:tc>
          <w:tcPr>
            <w:tcW w:w="2551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Итоговый результат оценки</w:t>
            </w:r>
          </w:p>
        </w:tc>
        <w:tc>
          <w:tcPr>
            <w:tcW w:w="3402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Рейтинг</w:t>
            </w:r>
          </w:p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(Итоговое место участника)</w:t>
            </w:r>
          </w:p>
        </w:tc>
      </w:tr>
      <w:tr>
        <w:trPr/>
        <w:tc>
          <w:tcPr>
            <w:tcW w:w="36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Lines/>
              <w:spacing w:before="0" w:after="0"/>
              <w:contextualSpacing/>
              <w:jc w:val="center"/>
              <w:rPr/>
            </w:pPr>
            <w:r>
              <w:rPr>
                <w:b/>
                <w:sz w:val="22"/>
                <w:szCs w:val="22"/>
              </w:rPr>
              <w:t xml:space="preserve">1 </w:t>
            </w:r>
            <w:r>
              <w:rPr>
                <w:sz w:val="22"/>
                <w:szCs w:val="22"/>
              </w:rPr>
              <w:t>(50-01)</w:t>
            </w:r>
          </w:p>
        </w:tc>
        <w:tc>
          <w:tcPr>
            <w:tcW w:w="25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36,51</w:t>
            </w:r>
          </w:p>
        </w:tc>
        <w:tc>
          <w:tcPr>
            <w:tcW w:w="34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 (победитель)</w:t>
            </w:r>
          </w:p>
        </w:tc>
      </w:tr>
      <w:tr>
        <w:trPr/>
        <w:tc>
          <w:tcPr>
            <w:tcW w:w="36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Lines/>
              <w:spacing w:before="0" w:after="0"/>
              <w:contextualSpacing/>
              <w:jc w:val="center"/>
              <w:rPr/>
            </w:pPr>
            <w:r>
              <w:rPr>
                <w:sz w:val="22"/>
                <w:szCs w:val="22"/>
              </w:rPr>
              <w:t>2</w:t>
            </w:r>
            <w:r>
              <w:rPr>
                <w:b/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(50-03)</w:t>
            </w:r>
          </w:p>
        </w:tc>
        <w:tc>
          <w:tcPr>
            <w:tcW w:w="25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30,03</w:t>
            </w:r>
          </w:p>
        </w:tc>
        <w:tc>
          <w:tcPr>
            <w:tcW w:w="34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</w:tr>
    </w:tbl>
    <w:p>
      <w:pPr>
        <w:pStyle w:val="Normal"/>
        <w:jc w:val="both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jc w:val="both"/>
        <w:rPr>
          <w:b/>
          <w:sz w:val="22"/>
          <w:szCs w:val="22"/>
        </w:rPr>
      </w:pPr>
      <w:r>
        <w:rPr>
          <w:b/>
          <w:sz w:val="22"/>
          <w:szCs w:val="22"/>
        </w:rPr>
        <w:t>Комиссия приняла решение:</w:t>
      </w:r>
    </w:p>
    <w:p>
      <w:pPr>
        <w:pStyle w:val="Normal"/>
        <w:ind w:firstLine="708" w:end="0"/>
        <w:jc w:val="both"/>
        <w:rPr/>
      </w:pPr>
      <w:r>
        <w:rPr>
          <w:sz w:val="22"/>
          <w:szCs w:val="22"/>
        </w:rPr>
        <w:t>На основании итогового рейтинга признать победителем конкурса №20/11//2025 на право заключения договора на техническое обслуживание и текущий ремонт лифтов в жилых домах, обслуживаемых ООО «ЖКС № 3 Красногвардейского района» участника с порядковым номером заявки 1 (50-01). Заключить договор с ним с предложенной им ценой предложения 15 985 195,92 руб.</w:t>
      </w:r>
    </w:p>
    <w:p>
      <w:pPr>
        <w:pStyle w:val="Normal"/>
        <w:jc w:val="both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jc w:val="both"/>
        <w:rPr/>
      </w:pPr>
      <w:r>
        <w:rPr/>
        <w:t>ГОЛОСОВАЛИ</w:t>
      </w:r>
    </w:p>
    <w:tbl>
      <w:tblPr>
        <w:tblW w:w="9640" w:type="dxa"/>
        <w:jc w:val="start"/>
        <w:tblInd w:w="28" w:type="dxa"/>
        <w:tblLayout w:type="fixed"/>
        <w:tblCellMar>
          <w:top w:w="0" w:type="dxa"/>
          <w:start w:w="28" w:type="dxa"/>
          <w:bottom w:w="0" w:type="dxa"/>
          <w:end w:w="28" w:type="dxa"/>
        </w:tblCellMar>
      </w:tblPr>
      <w:tblGrid>
        <w:gridCol w:w="4320"/>
        <w:gridCol w:w="2910"/>
        <w:gridCol w:w="2410"/>
      </w:tblGrid>
      <w:tr>
        <w:trPr>
          <w:trHeight w:val="235" w:hRule="atLeast"/>
        </w:trPr>
        <w:tc>
          <w:tcPr>
            <w:tcW w:w="43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Члены комиссии</w:t>
            </w:r>
          </w:p>
        </w:tc>
        <w:tc>
          <w:tcPr>
            <w:tcW w:w="29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ФИО</w:t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Результат голосования</w:t>
            </w:r>
          </w:p>
        </w:tc>
      </w:tr>
      <w:tr>
        <w:trPr>
          <w:trHeight w:val="302" w:hRule="atLeast"/>
        </w:trPr>
        <w:tc>
          <w:tcPr>
            <w:tcW w:w="43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Председатель комиссии</w:t>
            </w:r>
          </w:p>
        </w:tc>
        <w:tc>
          <w:tcPr>
            <w:tcW w:w="29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Соболева О.И.</w:t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За</w:t>
            </w:r>
          </w:p>
        </w:tc>
      </w:tr>
      <w:tr>
        <w:trPr>
          <w:trHeight w:val="253" w:hRule="atLeast"/>
        </w:trPr>
        <w:tc>
          <w:tcPr>
            <w:tcW w:w="43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Член комиссии</w:t>
            </w:r>
          </w:p>
        </w:tc>
        <w:tc>
          <w:tcPr>
            <w:tcW w:w="29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Быстров В.В.</w:t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За</w:t>
            </w:r>
          </w:p>
        </w:tc>
      </w:tr>
      <w:tr>
        <w:trPr>
          <w:trHeight w:val="262" w:hRule="atLeast"/>
        </w:trPr>
        <w:tc>
          <w:tcPr>
            <w:tcW w:w="43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Член комиссии</w:t>
            </w:r>
          </w:p>
        </w:tc>
        <w:tc>
          <w:tcPr>
            <w:tcW w:w="29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Зенкевич К.П.</w:t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За</w:t>
            </w:r>
          </w:p>
        </w:tc>
      </w:tr>
      <w:tr>
        <w:trPr>
          <w:trHeight w:val="268" w:hRule="atLeast"/>
        </w:trPr>
        <w:tc>
          <w:tcPr>
            <w:tcW w:w="43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Итог голосования</w:t>
            </w:r>
          </w:p>
        </w:tc>
        <w:tc>
          <w:tcPr>
            <w:tcW w:w="29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единогласно</w:t>
            </w:r>
          </w:p>
        </w:tc>
      </w:tr>
    </w:tbl>
    <w:p>
      <w:pPr>
        <w:pStyle w:val="Normal"/>
        <w:jc w:val="both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Normal"/>
        <w:jc w:val="both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tbl>
      <w:tblPr>
        <w:tblW w:w="9639" w:type="dxa"/>
        <w:jc w:val="start"/>
        <w:tblInd w:w="28" w:type="dxa"/>
        <w:tblLayout w:type="fixed"/>
        <w:tblCellMar>
          <w:top w:w="0" w:type="dxa"/>
          <w:start w:w="28" w:type="dxa"/>
          <w:bottom w:w="0" w:type="dxa"/>
          <w:end w:w="28" w:type="dxa"/>
        </w:tblCellMar>
      </w:tblPr>
      <w:tblGrid>
        <w:gridCol w:w="4253"/>
        <w:gridCol w:w="5386"/>
      </w:tblGrid>
      <w:tr>
        <w:trPr/>
        <w:tc>
          <w:tcPr>
            <w:tcW w:w="4253" w:type="dxa"/>
            <w:tcBorders/>
          </w:tcPr>
          <w:p>
            <w:pPr>
              <w:pStyle w:val="Normal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Председатель комиссии:</w:t>
            </w:r>
          </w:p>
          <w:p>
            <w:pPr>
              <w:pStyle w:val="Normal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5386" w:type="dxa"/>
            <w:tcBorders/>
          </w:tcPr>
          <w:p>
            <w:pPr>
              <w:pStyle w:val="Normal"/>
              <w:snapToGrid w:val="false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jc w:val="both"/>
              <w:rPr/>
            </w:pPr>
            <w:r>
              <w:rPr>
                <w:sz w:val="22"/>
                <w:szCs w:val="22"/>
              </w:rPr>
              <w:t>___________________________________ Соболева О.И.</w:t>
            </w:r>
          </w:p>
        </w:tc>
      </w:tr>
      <w:tr>
        <w:trPr/>
        <w:tc>
          <w:tcPr>
            <w:tcW w:w="4253" w:type="dxa"/>
            <w:tcBorders/>
          </w:tcPr>
          <w:p>
            <w:pPr>
              <w:pStyle w:val="Normal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Члены комиссии:</w:t>
            </w:r>
          </w:p>
        </w:tc>
        <w:tc>
          <w:tcPr>
            <w:tcW w:w="5386" w:type="dxa"/>
            <w:tcBorders/>
          </w:tcPr>
          <w:p>
            <w:pPr>
              <w:pStyle w:val="Normal"/>
              <w:snapToGrid w:val="false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____________________________________ </w:t>
            </w:r>
            <w:r>
              <w:rPr>
                <w:color w:val="000000"/>
                <w:sz w:val="22"/>
                <w:szCs w:val="22"/>
              </w:rPr>
              <w:t>Быстров В.В.</w:t>
            </w:r>
          </w:p>
        </w:tc>
      </w:tr>
      <w:tr>
        <w:trPr/>
        <w:tc>
          <w:tcPr>
            <w:tcW w:w="4253" w:type="dxa"/>
            <w:tcBorders/>
          </w:tcPr>
          <w:p>
            <w:pPr>
              <w:pStyle w:val="Normal"/>
              <w:snapToGrid w:val="false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5386" w:type="dxa"/>
            <w:tcBorders/>
          </w:tcPr>
          <w:p>
            <w:pPr>
              <w:pStyle w:val="Normal"/>
              <w:snapToGrid w:val="false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___________________________________ </w:t>
            </w:r>
            <w:r>
              <w:rPr>
                <w:color w:val="000000"/>
                <w:sz w:val="22"/>
                <w:szCs w:val="22"/>
              </w:rPr>
              <w:t>Зенкевич К.П.</w:t>
            </w:r>
          </w:p>
        </w:tc>
      </w:tr>
    </w:tbl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sectPr>
      <w:type w:val="nextPage"/>
      <w:pgSz w:w="11906" w:h="16838"/>
      <w:pgMar w:left="1418" w:right="851" w:gutter="0" w:header="0" w:top="709" w:footer="0" w:bottom="70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Arial">
    <w:charset w:val="cc" w:characterSet="windows-1251"/>
    <w:family w:val="swiss"/>
    <w:pitch w:val="variable"/>
  </w:font>
  <w:font w:name="Courier New">
    <w:charset w:val="cc" w:characterSet="windows-1251"/>
    <w:family w:val="modern"/>
    <w:pitch w:val="default"/>
  </w:font>
  <w:font w:name="Liberation Sans">
    <w:altName w:val="Arial"/>
    <w:charset w:val="01" w:characterSet="utf-8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30"/>
  <w:defaultTabStop w:val="708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ru-RU" w:bidi="ar-SA" w:eastAsia="zh-CN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character" w:styleId="Style13">
    <w:name w:val="Основной шрифт абзаца"/>
    <w:qFormat/>
    <w:rPr/>
  </w:style>
  <w:style w:type="character" w:styleId="Hyperlink">
    <w:name w:val="Hyperlink"/>
    <w:rPr>
      <w:color w:val="0000FF"/>
      <w:u w:val="single"/>
    </w:rPr>
  </w:style>
  <w:style w:type="character" w:styleId="ConsNonformat">
    <w:name w:val="ConsNonformat Знак"/>
    <w:qFormat/>
    <w:rPr>
      <w:rFonts w:ascii="Courier New" w:hAnsi="Courier New" w:cs="Courier New"/>
      <w:lang w:val="ru-RU" w:bidi="ar-SA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Style14">
    <w:name w:val="Стиль"/>
    <w:qFormat/>
    <w:pPr>
      <w:widowControl w:val="false"/>
      <w:autoSpaceDE w:val="false"/>
      <w:bidi w:val="0"/>
    </w:pPr>
    <w:rPr>
      <w:rFonts w:ascii="Times New Roman" w:hAnsi="Times New Roman" w:eastAsia="Times New Roman" w:cs="Times New Roman"/>
      <w:color w:val="auto"/>
      <w:sz w:val="24"/>
      <w:szCs w:val="24"/>
      <w:lang w:val="ru-RU" w:bidi="ar-SA" w:eastAsia="zh-CN"/>
    </w:rPr>
  </w:style>
  <w:style w:type="paragraph" w:styleId="ConsNonformat1">
    <w:name w:val="ConsNonformat"/>
    <w:qFormat/>
    <w:pPr>
      <w:widowControl w:val="false"/>
      <w:autoSpaceDE w:val="false"/>
      <w:bidi w:val="0"/>
      <w:ind w:hanging="0" w:start="0" w:end="19772"/>
    </w:pPr>
    <w:rPr>
      <w:rFonts w:ascii="Courier New" w:hAnsi="Courier New" w:eastAsia="Times New Roman" w:cs="Courier New"/>
      <w:color w:val="auto"/>
      <w:sz w:val="20"/>
      <w:szCs w:val="20"/>
      <w:lang w:val="ru-RU" w:bidi="ar-SA" w:eastAsia="zh-CN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www.zakupki.gov.ru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186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2019-02-14T08:58:00Z</dcterms:created>
  <dc:creator/>
  <dc:description/>
  <cp:keywords/>
  <dc:language>en-US</dc:language>
  <cp:lastModifiedBy> </cp:lastModifiedBy>
  <dcterms:modified xsi:type="dcterms:W3CDTF">2025-12-15T13:56:00Z</dcterms:modified>
  <cp:revision>67</cp:revision>
  <dc:subject/>
  <dc:title/>
</cp:coreProperties>
</file>