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4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jc w:val="center"/>
        <w:rPr>
          <w:sz w:val="20"/>
          <w:szCs w:val="20"/>
        </w:rPr>
      </w:pPr>
      <w:r>
        <w:rPr>
          <w:b/>
          <w:sz w:val="20"/>
          <w:szCs w:val="20"/>
        </w:rPr>
        <w:t>ПРОТОКОЛ</w:t>
      </w:r>
    </w:p>
    <w:p>
      <w:pPr>
        <w:pStyle w:val="Normal"/>
        <w:widowControl w:val="false"/>
        <w:jc w:val="center"/>
        <w:rPr>
          <w:i/>
          <w:i/>
          <w:sz w:val="20"/>
          <w:szCs w:val="20"/>
        </w:rPr>
      </w:pPr>
      <w:r>
        <w:rPr>
          <w:sz w:val="20"/>
          <w:szCs w:val="20"/>
        </w:rPr>
        <w:t xml:space="preserve">заседания Комиссии по осуществлению конкурентных закупок АО «Теплосеть Санкт-Петербурга» </w:t>
        <w:br/>
        <w:t xml:space="preserve">по рассмотрению заявок и подведению итогов открытого </w:t>
      </w:r>
      <w:r>
        <w:rPr>
          <w:bCs/>
          <w:sz w:val="20"/>
          <w:szCs w:val="20"/>
        </w:rPr>
        <w:t>конкурентного отбора</w:t>
      </w:r>
      <w:r>
        <w:rPr>
          <w:sz w:val="20"/>
          <w:szCs w:val="20"/>
        </w:rPr>
        <w:t xml:space="preserve"> в электронной форме </w:t>
      </w:r>
    </w:p>
    <w:p>
      <w:pPr>
        <w:pStyle w:val="Normal"/>
        <w:widowControl w:val="false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Санкт-Петербург</w:t>
      </w:r>
    </w:p>
    <w:tbl>
      <w:tblPr>
        <w:tblW w:w="9889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786"/>
        <w:gridCol w:w="5103"/>
      </w:tblGrid>
      <w:tr>
        <w:trPr/>
        <w:tc>
          <w:tcPr>
            <w:tcW w:w="478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widowControl w:val="false"/>
              <w:spacing w:before="120" w:after="0"/>
              <w:rPr/>
            </w:pPr>
            <w:r>
              <w:rPr>
                <w:sz w:val="20"/>
                <w:szCs w:val="20"/>
              </w:rPr>
              <w:t>Номер протокола:</w:t>
            </w:r>
          </w:p>
        </w:tc>
        <w:tc>
          <w:tcPr>
            <w:tcW w:w="510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widowControl w:val="false"/>
              <w:spacing w:before="12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№ </w:t>
            </w:r>
            <w:r>
              <w:rPr>
                <w:sz w:val="20"/>
                <w:szCs w:val="20"/>
              </w:rPr>
              <w:t>32515445549_1</w:t>
            </w:r>
          </w:p>
        </w:tc>
      </w:tr>
      <w:tr>
        <w:trPr/>
        <w:tc>
          <w:tcPr>
            <w:tcW w:w="478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widowControl w:val="false"/>
              <w:spacing w:before="120" w:after="0"/>
              <w:rPr/>
            </w:pPr>
            <w:r>
              <w:rPr>
                <w:sz w:val="20"/>
                <w:szCs w:val="20"/>
              </w:rPr>
              <w:t>Дата/время проведения заседания:</w:t>
            </w:r>
          </w:p>
        </w:tc>
        <w:tc>
          <w:tcPr>
            <w:tcW w:w="510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widowControl w:val="false"/>
              <w:spacing w:before="12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«12» декабря 2025 года 15:00 (</w:t>
            </w:r>
            <w:r>
              <w:rPr>
                <w:i/>
                <w:sz w:val="20"/>
                <w:szCs w:val="20"/>
              </w:rPr>
              <w:t>по московскому времени)</w:t>
            </w:r>
          </w:p>
        </w:tc>
      </w:tr>
      <w:tr>
        <w:trPr/>
        <w:tc>
          <w:tcPr>
            <w:tcW w:w="478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widowControl w:val="false"/>
              <w:spacing w:before="12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подписания протокола:</w:t>
            </w:r>
          </w:p>
        </w:tc>
        <w:tc>
          <w:tcPr>
            <w:tcW w:w="510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widowControl w:val="false"/>
              <w:spacing w:before="12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«12» декабря 2025 года</w:t>
            </w:r>
          </w:p>
        </w:tc>
      </w:tr>
      <w:tr>
        <w:trPr/>
        <w:tc>
          <w:tcPr>
            <w:tcW w:w="478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widowControl w:val="false"/>
              <w:spacing w:before="12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Начальная (максимальная) цена с НДС, руб.:</w:t>
            </w:r>
          </w:p>
        </w:tc>
        <w:tc>
          <w:tcPr>
            <w:tcW w:w="510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widowControl w:val="false"/>
              <w:spacing w:before="12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80 070 707,20</w:t>
            </w:r>
          </w:p>
        </w:tc>
      </w:tr>
      <w:tr>
        <w:trPr/>
        <w:tc>
          <w:tcPr>
            <w:tcW w:w="478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widowControl w:val="false"/>
              <w:spacing w:before="12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Место выполнения работ:</w:t>
            </w:r>
          </w:p>
        </w:tc>
        <w:tc>
          <w:tcPr>
            <w:tcW w:w="510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widowControl w:val="false"/>
              <w:spacing w:before="12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 соответствии с проектом договора</w:t>
            </w:r>
          </w:p>
        </w:tc>
      </w:tr>
      <w:tr>
        <w:trPr/>
        <w:tc>
          <w:tcPr>
            <w:tcW w:w="478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widowControl w:val="false"/>
              <w:spacing w:before="12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Срок выполнения работ:</w:t>
            </w:r>
          </w:p>
        </w:tc>
        <w:tc>
          <w:tcPr>
            <w:tcW w:w="510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widowControl w:val="false"/>
              <w:spacing w:before="12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 соответствии с проектом договора</w:t>
            </w:r>
          </w:p>
        </w:tc>
      </w:tr>
      <w:tr>
        <w:trPr/>
        <w:tc>
          <w:tcPr>
            <w:tcW w:w="478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widowControl w:val="false"/>
              <w:spacing w:before="12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Объем выполнения работ:</w:t>
            </w:r>
          </w:p>
        </w:tc>
        <w:tc>
          <w:tcPr>
            <w:tcW w:w="510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widowControl w:val="false"/>
              <w:spacing w:before="12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 соответствии с проектом договора</w:t>
            </w:r>
          </w:p>
        </w:tc>
      </w:tr>
      <w:tr>
        <w:trPr/>
        <w:tc>
          <w:tcPr>
            <w:tcW w:w="478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widowControl w:val="false"/>
              <w:spacing w:before="12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Срок исполнения договора:</w:t>
            </w:r>
          </w:p>
        </w:tc>
        <w:tc>
          <w:tcPr>
            <w:tcW w:w="510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widowControl w:val="false"/>
              <w:spacing w:before="12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 соответствии с проектом договора</w:t>
            </w:r>
          </w:p>
        </w:tc>
      </w:tr>
      <w:tr>
        <w:trPr/>
        <w:tc>
          <w:tcPr>
            <w:tcW w:w="478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widowControl w:val="false"/>
              <w:spacing w:before="12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Участниками могут быть только субъекты МСП</w:t>
            </w:r>
          </w:p>
        </w:tc>
        <w:tc>
          <w:tcPr>
            <w:tcW w:w="510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widowControl w:val="false"/>
              <w:spacing w:before="12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Нет</w:t>
            </w:r>
          </w:p>
        </w:tc>
      </w:tr>
    </w:tbl>
    <w:p>
      <w:pPr>
        <w:pStyle w:val="Normal"/>
        <w:widowControl w:val="false"/>
        <w:spacing w:before="120" w:after="120"/>
        <w:rPr>
          <w:b/>
          <w:sz w:val="20"/>
          <w:szCs w:val="20"/>
        </w:rPr>
      </w:pPr>
      <w:r>
        <w:rPr>
          <w:b/>
          <w:sz w:val="20"/>
          <w:szCs w:val="20"/>
        </w:rPr>
      </w:r>
    </w:p>
    <w:p>
      <w:pPr>
        <w:pStyle w:val="Normal"/>
        <w:widowControl w:val="false"/>
        <w:spacing w:before="120" w:after="120"/>
        <w:rPr>
          <w:b/>
          <w:sz w:val="20"/>
          <w:szCs w:val="20"/>
        </w:rPr>
      </w:pPr>
      <w:r>
        <w:rPr>
          <w:b/>
          <w:sz w:val="20"/>
          <w:szCs w:val="20"/>
        </w:rPr>
        <w:t>ПРЕДМЕТ ЗАКУПКИ:</w:t>
      </w:r>
    </w:p>
    <w:p>
      <w:pPr>
        <w:pStyle w:val="Normal"/>
        <w:widowControl w:val="false"/>
        <w:jc w:val="both"/>
        <w:rPr>
          <w:sz w:val="20"/>
          <w:szCs w:val="20"/>
        </w:rPr>
      </w:pPr>
      <w:r>
        <w:rPr>
          <w:sz w:val="20"/>
          <w:szCs w:val="20"/>
        </w:rPr>
        <w:t>Лот 1: Выполнение работ по корректировке и реализации проекта: "Модернизация системы АСДТУ НПС "Московская" (в части АСУ ТП и АСДУ "нижнего уровня" и ИБ)" (4444/4.6.16-785).</w:t>
      </w:r>
    </w:p>
    <w:p>
      <w:pPr>
        <w:pStyle w:val="Normal"/>
        <w:widowControl w:val="false"/>
        <w:rPr>
          <w:b/>
          <w:sz w:val="20"/>
          <w:szCs w:val="20"/>
        </w:rPr>
      </w:pPr>
      <w:r>
        <w:rPr>
          <w:b/>
          <w:sz w:val="20"/>
          <w:szCs w:val="20"/>
        </w:rPr>
      </w:r>
    </w:p>
    <w:p>
      <w:pPr>
        <w:pStyle w:val="Normal"/>
        <w:widowControl w:val="false"/>
        <w:spacing w:before="120" w:after="120"/>
        <w:rPr>
          <w:b/>
          <w:sz w:val="20"/>
          <w:szCs w:val="20"/>
        </w:rPr>
      </w:pPr>
      <w:r>
        <w:rPr>
          <w:b/>
          <w:sz w:val="20"/>
          <w:szCs w:val="20"/>
        </w:rPr>
        <w:t>ПОВЕСТКА:</w:t>
      </w:r>
    </w:p>
    <w:p>
      <w:pPr>
        <w:pStyle w:val="Normal"/>
        <w:spacing w:before="120" w:after="120"/>
        <w:ind w:firstLine="567" w:end="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Рассмотрение заявок и подведение итогов открытого конкурентного отбора в электронной форме на право заключения договора на выполнение работ по корректировке и реализации проекта: "Модернизация системы АСДТУ НПС "Московская" (в части АСУ ТП и АСДУ "нижнего уровня" и ИБ)" (4444/4.6.16-785).</w:t>
      </w:r>
    </w:p>
    <w:p>
      <w:pPr>
        <w:pStyle w:val="Normal"/>
        <w:spacing w:before="120" w:after="120"/>
        <w:ind w:firstLine="567" w:end="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widowControl w:val="false"/>
        <w:numPr>
          <w:ilvl w:val="0"/>
          <w:numId w:val="3"/>
        </w:numPr>
        <w:spacing w:before="120" w:after="120"/>
        <w:ind w:hanging="284" w:start="284" w:end="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Об одобрении Сводного заключения Экспертного совета по рассмотрению заявок и подведению итогов открытого конкурентного отбора.</w:t>
      </w:r>
    </w:p>
    <w:p>
      <w:pPr>
        <w:pStyle w:val="Normal"/>
        <w:widowControl w:val="false"/>
        <w:numPr>
          <w:ilvl w:val="0"/>
          <w:numId w:val="3"/>
        </w:numPr>
        <w:spacing w:before="120" w:after="120"/>
        <w:ind w:hanging="284" w:start="284" w:end="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О признании заявки соответствующей условиям закупки.</w:t>
      </w:r>
    </w:p>
    <w:p>
      <w:pPr>
        <w:pStyle w:val="Normal"/>
        <w:widowControl w:val="false"/>
        <w:numPr>
          <w:ilvl w:val="0"/>
          <w:numId w:val="3"/>
        </w:numPr>
        <w:spacing w:before="120" w:after="120"/>
        <w:ind w:hanging="284" w:start="284" w:end="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Об отклонении заявки.</w:t>
      </w:r>
    </w:p>
    <w:p>
      <w:pPr>
        <w:pStyle w:val="Normal"/>
        <w:widowControl w:val="false"/>
        <w:numPr>
          <w:ilvl w:val="0"/>
          <w:numId w:val="3"/>
        </w:numPr>
        <w:spacing w:before="120" w:after="120"/>
        <w:ind w:hanging="284" w:start="284" w:end="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 xml:space="preserve">О признании закупки несостоявшейся в связи с тем, что по результатам её проведения отклонены все заявки, </w:t>
      </w:r>
    </w:p>
    <w:p>
      <w:pPr>
        <w:pStyle w:val="Normal"/>
        <w:widowControl w:val="false"/>
        <w:spacing w:before="120" w:after="120"/>
        <w:ind w:firstLine="284" w:end="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за исключением одной заявки на участие в закупке.</w:t>
      </w:r>
    </w:p>
    <w:p>
      <w:pPr>
        <w:pStyle w:val="Normal"/>
        <w:widowControl w:val="false"/>
        <w:numPr>
          <w:ilvl w:val="0"/>
          <w:numId w:val="3"/>
        </w:numPr>
        <w:spacing w:before="120" w:after="120"/>
        <w:ind w:hanging="284" w:start="284" w:end="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Об определении победителя.</w:t>
      </w:r>
    </w:p>
    <w:p>
      <w:pPr>
        <w:pStyle w:val="Normal"/>
        <w:widowControl w:val="false"/>
        <w:numPr>
          <w:ilvl w:val="0"/>
          <w:numId w:val="3"/>
        </w:numPr>
        <w:spacing w:before="120" w:after="120"/>
        <w:ind w:hanging="284" w:start="284" w:end="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О возможности проведения преддоговорных переговоров.</w:t>
      </w:r>
    </w:p>
    <w:p>
      <w:pPr>
        <w:pStyle w:val="Normal"/>
        <w:widowControl w:val="false"/>
        <w:spacing w:lineRule="auto" w:line="288" w:before="120" w:after="120"/>
        <w:contextualSpacing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</w:r>
    </w:p>
    <w:p>
      <w:pPr>
        <w:pStyle w:val="Normal"/>
        <w:widowControl w:val="false"/>
        <w:spacing w:before="120" w:after="120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КОМИССИЯ ПО ОСУЩЕСТВЛЕНИЮ КОНКУРЕНТНЫХ ЗАКУПОК АО «ТЕПЛОСЕТЬ </w:t>
        <w:br/>
        <w:t>САНКТ-ПЕТЕРБУРГА»:</w:t>
      </w:r>
    </w:p>
    <w:p>
      <w:pPr>
        <w:pStyle w:val="Normal"/>
        <w:widowControl w:val="false"/>
        <w:spacing w:lineRule="auto" w:line="288" w:before="120" w:after="120"/>
        <w:ind w:end="-285"/>
        <w:contextualSpacing/>
        <w:rPr/>
      </w:pPr>
      <w:r>
        <w:rPr>
          <w:sz w:val="20"/>
          <w:szCs w:val="20"/>
          <w:u w:val="single"/>
        </w:rPr>
        <w:t>Заместитель председателя Комиссии по осуществлению конкурентных закупок АО «Теплосеть Санкт-Петербурга»:</w:t>
      </w:r>
    </w:p>
    <w:p>
      <w:pPr>
        <w:pStyle w:val="Normal"/>
        <w:widowControl w:val="false"/>
        <w:spacing w:lineRule="auto" w:line="288" w:before="120" w:after="120"/>
        <w:contextualSpacing/>
        <w:rPr>
          <w:sz w:val="20"/>
          <w:szCs w:val="20"/>
        </w:rPr>
      </w:pPr>
      <w:r>
        <w:rPr>
          <w:sz w:val="20"/>
          <w:szCs w:val="20"/>
        </w:rPr>
        <w:t>Чистяков С.С.</w:t>
      </w:r>
    </w:p>
    <w:p>
      <w:pPr>
        <w:pStyle w:val="Normal"/>
        <w:widowControl w:val="false"/>
        <w:spacing w:lineRule="auto" w:line="288" w:before="120" w:after="120"/>
        <w:ind w:end="-285"/>
        <w:contextualSpacing/>
        <w:rPr>
          <w:sz w:val="20"/>
          <w:szCs w:val="20"/>
          <w:u w:val="single"/>
        </w:rPr>
      </w:pPr>
      <w:r>
        <w:rPr>
          <w:sz w:val="20"/>
          <w:szCs w:val="20"/>
          <w:u w:val="single"/>
        </w:rPr>
        <w:t>Члены Комиссии по осуществлению конкурентных закупок АО «Теплосеть Санкт-Петербурга»:</w:t>
      </w:r>
    </w:p>
    <w:p>
      <w:pPr>
        <w:pStyle w:val="Normal"/>
        <w:widowControl w:val="false"/>
        <w:spacing w:lineRule="auto" w:line="288" w:before="120" w:after="12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Буряк И.Н.</w:t>
      </w:r>
    </w:p>
    <w:p>
      <w:pPr>
        <w:pStyle w:val="Normal"/>
        <w:widowControl w:val="false"/>
        <w:spacing w:lineRule="auto" w:line="288" w:before="120" w:after="12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 xml:space="preserve">Пахунов Е.М. </w:t>
      </w:r>
    </w:p>
    <w:p>
      <w:pPr>
        <w:pStyle w:val="Normal"/>
        <w:widowControl w:val="false"/>
        <w:spacing w:lineRule="auto" w:line="288" w:before="120" w:after="12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Фомичев А.С.</w:t>
      </w:r>
    </w:p>
    <w:p>
      <w:pPr>
        <w:pStyle w:val="Normal"/>
        <w:widowControl w:val="false"/>
        <w:spacing w:lineRule="auto" w:line="288" w:before="120" w:after="12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Лавилин В.А.</w:t>
      </w:r>
    </w:p>
    <w:p>
      <w:pPr>
        <w:pStyle w:val="Normal"/>
        <w:widowControl w:val="false"/>
        <w:spacing w:lineRule="auto" w:line="288" w:before="120" w:after="12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Лещинская О.С.</w:t>
      </w:r>
    </w:p>
    <w:p>
      <w:pPr>
        <w:pStyle w:val="Normal"/>
        <w:widowControl w:val="false"/>
        <w:spacing w:lineRule="auto" w:line="288" w:before="120" w:after="12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 xml:space="preserve">Пуговкин В.М. </w:t>
      </w:r>
    </w:p>
    <w:p>
      <w:pPr>
        <w:pStyle w:val="Normal"/>
        <w:widowControl w:val="false"/>
        <w:spacing w:lineRule="auto" w:line="288" w:before="120" w:after="120"/>
        <w:contextualSpacing/>
        <w:jc w:val="both"/>
        <w:rPr/>
      </w:pPr>
      <w:r>
        <w:rPr>
          <w:sz w:val="20"/>
          <w:szCs w:val="20"/>
        </w:rPr>
        <w:t xml:space="preserve">Северовостоков В.В. </w:t>
      </w:r>
    </w:p>
    <w:p>
      <w:pPr>
        <w:pStyle w:val="Normal"/>
        <w:widowControl w:val="false"/>
        <w:spacing w:lineRule="auto" w:line="288" w:before="120" w:after="12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Медведева Н.Л.</w:t>
      </w:r>
    </w:p>
    <w:p>
      <w:pPr>
        <w:pStyle w:val="Normal"/>
        <w:widowControl w:val="false"/>
        <w:spacing w:before="120" w:after="120"/>
        <w:contextualSpacing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</w:r>
    </w:p>
    <w:p>
      <w:pPr>
        <w:pStyle w:val="Normal"/>
        <w:widowControl w:val="false"/>
        <w:spacing w:before="120" w:after="120"/>
        <w:contextualSpacing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УЧАСТИЕ ПРИНИМАЛИ:</w:t>
      </w:r>
    </w:p>
    <w:p>
      <w:pPr>
        <w:pStyle w:val="Normal"/>
        <w:widowControl w:val="false"/>
        <w:spacing w:lineRule="auto" w:line="288" w:before="120" w:after="120"/>
        <w:ind w:end="-285"/>
        <w:contextualSpacing/>
        <w:rPr>
          <w:sz w:val="20"/>
          <w:szCs w:val="20"/>
          <w:u w:val="single"/>
        </w:rPr>
      </w:pPr>
      <w:r>
        <w:rPr>
          <w:sz w:val="20"/>
          <w:szCs w:val="20"/>
          <w:u w:val="single"/>
        </w:rPr>
        <w:t>Заместитель председателя Комиссии по осуществлению конкурентных закупок АО «Теплосеть Санкт-Петербурга»:</w:t>
      </w:r>
    </w:p>
    <w:p>
      <w:pPr>
        <w:pStyle w:val="Normal"/>
        <w:widowControl w:val="false"/>
        <w:spacing w:lineRule="auto" w:line="288" w:before="120" w:after="120"/>
        <w:contextualSpacing/>
        <w:rPr>
          <w:sz w:val="20"/>
          <w:szCs w:val="20"/>
        </w:rPr>
      </w:pPr>
      <w:r>
        <w:rPr>
          <w:sz w:val="20"/>
          <w:szCs w:val="20"/>
        </w:rPr>
        <w:t>Чистяков С.С.</w:t>
      </w:r>
    </w:p>
    <w:p>
      <w:pPr>
        <w:pStyle w:val="Normal"/>
        <w:widowControl w:val="false"/>
        <w:spacing w:lineRule="auto" w:line="288" w:before="120" w:after="120"/>
        <w:ind w:end="-285"/>
        <w:contextualSpacing/>
        <w:rPr>
          <w:sz w:val="20"/>
          <w:szCs w:val="20"/>
          <w:u w:val="single"/>
        </w:rPr>
      </w:pPr>
      <w:r>
        <w:rPr>
          <w:sz w:val="20"/>
          <w:szCs w:val="20"/>
          <w:u w:val="single"/>
        </w:rPr>
        <w:t>Члены Комиссии по осуществлению конкурентных закупок АО «Теплосеть Санкт-Петербурга»:</w:t>
      </w:r>
    </w:p>
    <w:p>
      <w:pPr>
        <w:pStyle w:val="Normal"/>
        <w:widowControl w:val="false"/>
        <w:spacing w:lineRule="auto" w:line="288" w:before="120" w:after="12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Буряк И.Н.</w:t>
      </w:r>
    </w:p>
    <w:p>
      <w:pPr>
        <w:pStyle w:val="Normal"/>
        <w:widowControl w:val="false"/>
        <w:spacing w:lineRule="auto" w:line="288" w:before="120" w:after="120"/>
        <w:contextualSpacing/>
        <w:jc w:val="both"/>
        <w:rPr/>
      </w:pPr>
      <w:r>
        <w:rPr>
          <w:sz w:val="20"/>
          <w:szCs w:val="20"/>
        </w:rPr>
        <w:t xml:space="preserve">Пахунов Е.М. </w:t>
      </w:r>
    </w:p>
    <w:p>
      <w:pPr>
        <w:pStyle w:val="Normal"/>
        <w:widowControl w:val="false"/>
        <w:spacing w:lineRule="auto" w:line="288" w:before="120" w:after="12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Фомичев А.С.</w:t>
      </w:r>
    </w:p>
    <w:p>
      <w:pPr>
        <w:pStyle w:val="Normal"/>
        <w:widowControl w:val="false"/>
        <w:spacing w:lineRule="auto" w:line="288" w:before="120" w:after="12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Лавилин В.А.</w:t>
      </w:r>
    </w:p>
    <w:p>
      <w:pPr>
        <w:pStyle w:val="Normal"/>
        <w:widowControl w:val="false"/>
        <w:spacing w:lineRule="auto" w:line="288" w:before="120" w:after="12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Лещинская О.С.</w:t>
      </w:r>
    </w:p>
    <w:p>
      <w:pPr>
        <w:pStyle w:val="Normal"/>
        <w:widowControl w:val="false"/>
        <w:spacing w:lineRule="auto" w:line="288" w:before="120" w:after="12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 xml:space="preserve">Пуговкин В.М. </w:t>
      </w:r>
    </w:p>
    <w:p>
      <w:pPr>
        <w:pStyle w:val="Normal"/>
        <w:widowControl w:val="false"/>
        <w:spacing w:lineRule="auto" w:line="288" w:before="120" w:after="12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 xml:space="preserve">Северовостоков В.В. </w:t>
      </w:r>
    </w:p>
    <w:p>
      <w:pPr>
        <w:pStyle w:val="Normal"/>
        <w:widowControl w:val="false"/>
        <w:spacing w:lineRule="auto" w:line="288" w:before="120" w:after="12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Медведева Н.Л.</w:t>
      </w:r>
    </w:p>
    <w:p>
      <w:pPr>
        <w:pStyle w:val="Normal"/>
        <w:widowControl w:val="false"/>
        <w:spacing w:before="120" w:after="120"/>
        <w:contextualSpacing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ОТСУТСТВОВАЛИ: -</w:t>
      </w:r>
    </w:p>
    <w:p>
      <w:pPr>
        <w:pStyle w:val="Normal"/>
        <w:widowControl w:val="false"/>
        <w:numPr>
          <w:ilvl w:val="0"/>
          <w:numId w:val="0"/>
        </w:numPr>
        <w:tabs>
          <w:tab w:val="clear" w:pos="708"/>
          <w:tab w:val="left" w:pos="851" w:leader="none"/>
        </w:tabs>
        <w:spacing w:lineRule="auto" w:line="216"/>
        <w:jc w:val="both"/>
        <w:outlineLvl w:val="0"/>
        <w:rPr>
          <w:b/>
          <w:sz w:val="20"/>
          <w:szCs w:val="20"/>
        </w:rPr>
      </w:pPr>
      <w:r>
        <w:rPr>
          <w:b/>
          <w:sz w:val="20"/>
          <w:szCs w:val="20"/>
        </w:rPr>
      </w:r>
    </w:p>
    <w:p>
      <w:pPr>
        <w:pStyle w:val="Normal"/>
        <w:widowControl w:val="false"/>
        <w:numPr>
          <w:ilvl w:val="0"/>
          <w:numId w:val="0"/>
        </w:numPr>
        <w:tabs>
          <w:tab w:val="clear" w:pos="708"/>
          <w:tab w:val="left" w:pos="851" w:leader="none"/>
        </w:tabs>
        <w:spacing w:lineRule="auto" w:line="216"/>
        <w:jc w:val="both"/>
        <w:outlineLvl w:val="0"/>
        <w:rPr/>
      </w:pPr>
      <w:r>
        <w:rPr>
          <w:b/>
          <w:sz w:val="20"/>
          <w:szCs w:val="20"/>
        </w:rPr>
        <w:t xml:space="preserve">Присутствовали 9 (девять) из 9 (девяти) членов комиссии. </w:t>
      </w:r>
      <w:r>
        <w:rPr>
          <w:b/>
          <w:bCs/>
          <w:sz w:val="20"/>
          <w:szCs w:val="20"/>
        </w:rPr>
        <w:t>Комиссия правомочна осуществлять свои функции.</w:t>
      </w:r>
      <w:r>
        <w:rPr>
          <w:b/>
          <w:sz w:val="20"/>
          <w:szCs w:val="20"/>
        </w:rPr>
        <w:t xml:space="preserve"> Кворум для принятия решений имеется. </w:t>
      </w:r>
    </w:p>
    <w:p>
      <w:pPr>
        <w:pStyle w:val="Normal"/>
        <w:widowControl w:val="false"/>
        <w:numPr>
          <w:ilvl w:val="0"/>
          <w:numId w:val="0"/>
        </w:numPr>
        <w:tabs>
          <w:tab w:val="clear" w:pos="708"/>
          <w:tab w:val="left" w:pos="851" w:leader="none"/>
        </w:tabs>
        <w:spacing w:lineRule="auto" w:line="216"/>
        <w:jc w:val="both"/>
        <w:outlineLvl w:val="0"/>
        <w:rPr>
          <w:b/>
          <w:sz w:val="20"/>
          <w:szCs w:val="20"/>
        </w:rPr>
      </w:pPr>
      <w:r>
        <w:rPr>
          <w:b/>
          <w:sz w:val="20"/>
          <w:szCs w:val="20"/>
        </w:rPr>
      </w:r>
    </w:p>
    <w:p>
      <w:pPr>
        <w:pStyle w:val="Normal"/>
        <w:widowControl w:val="false"/>
        <w:numPr>
          <w:ilvl w:val="0"/>
          <w:numId w:val="0"/>
        </w:numPr>
        <w:tabs>
          <w:tab w:val="clear" w:pos="708"/>
          <w:tab w:val="left" w:pos="851" w:leader="none"/>
        </w:tabs>
        <w:spacing w:lineRule="auto" w:line="216"/>
        <w:jc w:val="both"/>
        <w:outlineLvl w:val="0"/>
        <w:rPr>
          <w:b/>
          <w:sz w:val="20"/>
          <w:szCs w:val="20"/>
        </w:rPr>
      </w:pPr>
      <w:r>
        <w:rPr>
          <w:b/>
          <w:sz w:val="20"/>
          <w:szCs w:val="20"/>
        </w:rPr>
      </w:r>
    </w:p>
    <w:p>
      <w:pPr>
        <w:pStyle w:val="Normal"/>
        <w:widowControl w:val="false"/>
        <w:numPr>
          <w:ilvl w:val="0"/>
          <w:numId w:val="0"/>
        </w:numPr>
        <w:tabs>
          <w:tab w:val="clear" w:pos="708"/>
          <w:tab w:val="left" w:pos="851" w:leader="none"/>
        </w:tabs>
        <w:spacing w:lineRule="auto" w:line="216"/>
        <w:jc w:val="both"/>
        <w:outlineLvl w:val="0"/>
        <w:rPr/>
      </w:pPr>
      <w:r>
        <w:rPr>
          <w:b/>
          <w:sz w:val="20"/>
          <w:szCs w:val="20"/>
        </w:rPr>
        <w:t xml:space="preserve">ВОПРОСЫ ЗАСЕДАНИЯ КОМИССИИ ПО ОСУЩЕСТВЛЕНИЮ КОНКУРЕНТНЫХ ЗАКУПОК </w:t>
        <w:br/>
        <w:t>АО «ТЕПЛОСЕТЬ САНКТ-ПЕТЕРБУРГА»:</w:t>
      </w:r>
    </w:p>
    <w:p>
      <w:pPr>
        <w:pStyle w:val="Normal"/>
        <w:widowControl w:val="false"/>
        <w:spacing w:before="120" w:after="12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На участие в закупке было подано 2 (две) заявки: </w:t>
      </w:r>
    </w:p>
    <w:tbl>
      <w:tblPr>
        <w:tblW w:w="9923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709"/>
        <w:gridCol w:w="6662"/>
        <w:gridCol w:w="2552"/>
      </w:tblGrid>
      <w:tr>
        <w:trPr>
          <w:tblHeader w:val="true"/>
          <w:trHeight w:val="473" w:hRule="atLeast"/>
        </w:trPr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BFBFBF" w:val="clear"/>
            <w:vAlign w:val="center"/>
          </w:tcPr>
          <w:p>
            <w:pPr>
              <w:pStyle w:val="Normal"/>
              <w:keepNext w:val="true"/>
              <w:spacing w:before="40" w:after="40"/>
              <w:ind w:start="-108" w:end="-108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№</w:t>
            </w:r>
          </w:p>
          <w:p>
            <w:pPr>
              <w:pStyle w:val="Normal"/>
              <w:keepNext w:val="true"/>
              <w:spacing w:before="40" w:after="40"/>
              <w:ind w:start="-108" w:end="-108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заявки</w:t>
            </w:r>
          </w:p>
        </w:tc>
        <w:tc>
          <w:tcPr>
            <w:tcW w:w="66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BFBFBF" w:val="clear"/>
            <w:vAlign w:val="center"/>
          </w:tcPr>
          <w:p>
            <w:pPr>
              <w:pStyle w:val="Normal"/>
              <w:keepNext w:val="true"/>
              <w:spacing w:before="40" w:after="40"/>
              <w:ind w:start="57" w:end="57"/>
              <w:jc w:val="center"/>
              <w:rPr/>
            </w:pPr>
            <w:r>
              <w:rPr>
                <w:sz w:val="20"/>
                <w:szCs w:val="20"/>
              </w:rPr>
              <w:t>Наименование, ИНН, адрес Участника закупки</w:t>
            </w:r>
          </w:p>
        </w:tc>
        <w:tc>
          <w:tcPr>
            <w:tcW w:w="25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BFBFBF" w:val="clear"/>
            <w:vAlign w:val="center"/>
          </w:tcPr>
          <w:p>
            <w:pPr>
              <w:pStyle w:val="Normal"/>
              <w:keepNext w:val="true"/>
              <w:spacing w:before="40" w:after="40"/>
              <w:ind w:start="57" w:end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и время регистрации заявки</w:t>
            </w:r>
          </w:p>
        </w:tc>
      </w:tr>
      <w:tr>
        <w:trPr>
          <w:tblHeader w:val="true"/>
          <w:trHeight w:val="126" w:hRule="atLeast"/>
        </w:trPr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BFBFBF" w:val="clear"/>
            <w:vAlign w:val="center"/>
          </w:tcPr>
          <w:p>
            <w:pPr>
              <w:pStyle w:val="Normal"/>
              <w:ind w:start="34" w:end="0"/>
              <w:jc w:val="center"/>
              <w:rPr>
                <w:i/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1</w:t>
            </w:r>
          </w:p>
        </w:tc>
        <w:tc>
          <w:tcPr>
            <w:tcW w:w="66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BFBFBF" w:val="clear"/>
            <w:vAlign w:val="center"/>
          </w:tcPr>
          <w:p>
            <w:pPr>
              <w:pStyle w:val="Normal"/>
              <w:spacing w:before="40" w:after="40"/>
              <w:ind w:start="57" w:end="57"/>
              <w:jc w:val="center"/>
              <w:rPr>
                <w:i/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2</w:t>
            </w:r>
          </w:p>
        </w:tc>
        <w:tc>
          <w:tcPr>
            <w:tcW w:w="25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BFBFBF" w:val="clear"/>
            <w:vAlign w:val="center"/>
          </w:tcPr>
          <w:p>
            <w:pPr>
              <w:pStyle w:val="Normal"/>
              <w:spacing w:before="40" w:after="40"/>
              <w:ind w:start="57" w:end="57"/>
              <w:jc w:val="center"/>
              <w:rPr>
                <w:i/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3</w:t>
            </w:r>
          </w:p>
        </w:tc>
      </w:tr>
      <w:tr>
        <w:trPr>
          <w:trHeight w:val="234" w:hRule="atLeast"/>
        </w:trPr>
        <w:tc>
          <w:tcPr>
            <w:tcW w:w="9923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b/>
                <w:sz w:val="20"/>
                <w:szCs w:val="20"/>
                <w:u w:val="single"/>
              </w:rPr>
            </w:pPr>
            <w:r>
              <w:rPr>
                <w:b/>
                <w:sz w:val="20"/>
                <w:szCs w:val="20"/>
              </w:rPr>
              <w:t>Лот № 1:</w:t>
            </w:r>
          </w:p>
        </w:tc>
      </w:tr>
      <w:tr>
        <w:trPr>
          <w:trHeight w:val="1920" w:hRule="atLeast"/>
        </w:trPr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1506</w:t>
            </w:r>
          </w:p>
        </w:tc>
        <w:tc>
          <w:tcPr>
            <w:tcW w:w="66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ОБЩЕСТВО С ОГРАНИЧЕННОЙ ОТВЕТСТВЕННОСТЬЮ "СИБ МИР"</w:t>
            </w:r>
          </w:p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ИНН 5404213959</w:t>
            </w:r>
          </w:p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119435, город Москва, Малая Пироговская ул, д. 18 стр. 1, помещ. XI ком. 22</w:t>
            </w:r>
          </w:p>
        </w:tc>
        <w:tc>
          <w:tcPr>
            <w:tcW w:w="25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02.12.2025 14:21:23</w:t>
            </w:r>
          </w:p>
        </w:tc>
      </w:tr>
      <w:tr>
        <w:trPr>
          <w:trHeight w:val="1832" w:hRule="atLeast"/>
        </w:trPr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2742</w:t>
            </w:r>
          </w:p>
        </w:tc>
        <w:tc>
          <w:tcPr>
            <w:tcW w:w="66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ОБЩЕСТВО С ОГРАНИЧЕННОЙ ОТВЕТСТВЕННОСТЬЮ "ФИРМА "СЕРВИСИНЖИНИРИНГ"</w:t>
            </w:r>
          </w:p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ИНН 7727626308</w:t>
            </w:r>
          </w:p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117447, город Москва, Севастопольский пр-кт, д. 11г, помещ. XIII ком. 19</w:t>
            </w:r>
          </w:p>
        </w:tc>
        <w:tc>
          <w:tcPr>
            <w:tcW w:w="25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03.12.2025 11:55:39</w:t>
            </w:r>
          </w:p>
        </w:tc>
      </w:tr>
    </w:tbl>
    <w:p>
      <w:pPr>
        <w:pStyle w:val="Normal"/>
        <w:widowControl w:val="false"/>
        <w:spacing w:before="120" w:after="120"/>
        <w:rPr>
          <w:b/>
          <w:sz w:val="20"/>
          <w:szCs w:val="20"/>
        </w:rPr>
      </w:pPr>
      <w:r>
        <w:rPr>
          <w:b/>
          <w:sz w:val="20"/>
          <w:szCs w:val="20"/>
        </w:rPr>
      </w:r>
    </w:p>
    <w:p>
      <w:pPr>
        <w:pStyle w:val="Normal"/>
        <w:widowControl w:val="false"/>
        <w:spacing w:before="120" w:after="120"/>
        <w:rPr/>
      </w:pPr>
      <w:r>
        <w:rPr>
          <w:b/>
          <w:sz w:val="20"/>
          <w:szCs w:val="20"/>
        </w:rPr>
        <w:t>Вопрос 1 повестки:</w:t>
      </w:r>
    </w:p>
    <w:p>
      <w:pPr>
        <w:pStyle w:val="Normal"/>
        <w:widowControl w:val="false"/>
        <w:spacing w:before="120" w:after="120"/>
        <w:ind w:firstLine="567" w:end="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Об одобрении</w:t>
      </w:r>
      <w:r>
        <w:rPr>
          <w:i/>
          <w:sz w:val="20"/>
          <w:szCs w:val="20"/>
        </w:rPr>
        <w:t xml:space="preserve"> </w:t>
      </w:r>
      <w:r>
        <w:rPr>
          <w:sz w:val="20"/>
          <w:szCs w:val="20"/>
        </w:rPr>
        <w:t>Сводного заключения Экспертного совета по рассмотрению заявок и подведению итогов открытого конкурентного отбора.</w:t>
      </w:r>
    </w:p>
    <w:p>
      <w:pPr>
        <w:pStyle w:val="Normal"/>
        <w:widowControl w:val="false"/>
        <w:spacing w:before="120" w:after="120"/>
        <w:ind w:firstLine="567" w:end="0"/>
        <w:contextualSpacing/>
        <w:jc w:val="both"/>
        <w:rPr>
          <w:i/>
          <w:i/>
          <w:sz w:val="20"/>
          <w:szCs w:val="20"/>
        </w:rPr>
      </w:pPr>
      <w:r>
        <w:rPr>
          <w:sz w:val="20"/>
          <w:szCs w:val="20"/>
        </w:rPr>
        <w:t xml:space="preserve">Члены Комиссии по осуществлению конкурентных закупок АО «Теплосеть Санкт-Петербурга» изучили поступившие заявки. Результаты оценки сведены в Сводном заключении Экспертного совета по рассмотрению заявок и подведению итогов открытого конкурентного отбора (Приложение № 1). </w:t>
      </w:r>
    </w:p>
    <w:p>
      <w:pPr>
        <w:pStyle w:val="Normal"/>
        <w:widowControl w:val="false"/>
        <w:spacing w:before="120" w:after="120"/>
        <w:ind w:firstLine="567" w:end="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Комиссии по осуществлению конкурентных закупок АО «Теплосеть Санкт-Петербурга» предлагается одобрить Сводное заключение Экспертного совета по рассмотрению заявок и подведению итогов открытого конкурентного отбора.</w:t>
      </w:r>
    </w:p>
    <w:p>
      <w:pPr>
        <w:pStyle w:val="Normal"/>
        <w:widowControl w:val="false"/>
        <w:spacing w:before="120" w:after="120"/>
        <w:rPr>
          <w:b/>
          <w:sz w:val="20"/>
          <w:szCs w:val="20"/>
        </w:rPr>
      </w:pPr>
      <w:r>
        <w:rPr>
          <w:b/>
          <w:sz w:val="20"/>
          <w:szCs w:val="20"/>
        </w:rPr>
      </w:r>
    </w:p>
    <w:p>
      <w:pPr>
        <w:pStyle w:val="Normal"/>
        <w:widowControl w:val="false"/>
        <w:spacing w:before="120" w:after="120"/>
        <w:rPr>
          <w:b/>
          <w:sz w:val="20"/>
          <w:szCs w:val="20"/>
        </w:rPr>
      </w:pPr>
      <w:r>
        <w:rPr>
          <w:b/>
          <w:sz w:val="20"/>
          <w:szCs w:val="20"/>
        </w:rPr>
        <w:t>Вопрос 2 повестки:</w:t>
      </w:r>
    </w:p>
    <w:p>
      <w:pPr>
        <w:pStyle w:val="Normal"/>
        <w:ind w:firstLine="567" w:end="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О признании заявки ОБЩЕСТВА С ОГРАНИЧЕННОЙ ОТВЕТСТВЕННОСТЬЮ "СИБ МИР" соответствующей условиям закупки. </w:t>
      </w:r>
    </w:p>
    <w:p>
      <w:pPr>
        <w:pStyle w:val="Normal"/>
        <w:rPr>
          <w:b/>
          <w:sz w:val="20"/>
          <w:szCs w:val="20"/>
        </w:rPr>
      </w:pPr>
      <w:r>
        <w:rPr>
          <w:b/>
          <w:sz w:val="20"/>
          <w:szCs w:val="20"/>
        </w:rPr>
      </w:r>
    </w:p>
    <w:p>
      <w:pPr>
        <w:pStyle w:val="Normal"/>
        <w:widowControl w:val="false"/>
        <w:spacing w:before="120" w:after="120"/>
        <w:rPr>
          <w:b/>
          <w:sz w:val="20"/>
          <w:szCs w:val="20"/>
        </w:rPr>
      </w:pPr>
      <w:r>
        <w:rPr>
          <w:b/>
          <w:sz w:val="20"/>
          <w:szCs w:val="20"/>
        </w:rPr>
        <w:t>Вопрос 3 повестки:</w:t>
      </w:r>
    </w:p>
    <w:p>
      <w:pPr>
        <w:pStyle w:val="Normal"/>
        <w:widowControl w:val="false"/>
        <w:spacing w:before="120" w:after="120"/>
        <w:ind w:firstLine="567" w:end="0"/>
        <w:jc w:val="both"/>
        <w:rPr>
          <w:sz w:val="20"/>
          <w:szCs w:val="20"/>
        </w:rPr>
      </w:pPr>
      <w:r>
        <w:rPr>
          <w:sz w:val="20"/>
          <w:szCs w:val="20"/>
        </w:rPr>
        <w:t>Об отклонении заявки ОБЩЕСТВА С ОГРАНИЧЕННОЙ ОТВЕТСТВЕННОСТЬЮ "ФИРМА "СЕРВИСИНЖИНИРИНГ".</w:t>
      </w:r>
    </w:p>
    <w:p>
      <w:pPr>
        <w:pStyle w:val="Normal"/>
        <w:ind w:firstLine="567" w:end="0"/>
        <w:jc w:val="both"/>
        <w:rPr>
          <w:i/>
          <w:i/>
          <w:sz w:val="20"/>
          <w:szCs w:val="20"/>
          <w:u w:val="single"/>
        </w:rPr>
      </w:pPr>
      <w:r>
        <w:rPr>
          <w:i/>
          <w:sz w:val="20"/>
          <w:szCs w:val="20"/>
          <w:u w:val="single"/>
        </w:rPr>
        <w:t>Причина отклонения:</w:t>
      </w:r>
    </w:p>
    <w:p>
      <w:pPr>
        <w:pStyle w:val="Normal"/>
        <w:widowControl w:val="false"/>
        <w:ind w:firstLine="567" w:end="0"/>
        <w:rPr/>
      </w:pPr>
      <w:r>
        <w:rPr>
          <w:sz w:val="20"/>
          <w:szCs w:val="20"/>
        </w:rPr>
        <w:t xml:space="preserve">У участника  (также у субподрядчика) отсутствует лицензия ФСТЭК на деятельность по технической защите конфиденциальной информации, что не соответствует обязательным  квалификационным требованиям  Документации по  п. 1.4.1.15. </w:t>
      </w:r>
    </w:p>
    <w:p>
      <w:pPr>
        <w:pStyle w:val="Normal"/>
        <w:widowControl w:val="false"/>
        <w:ind w:firstLine="567" w:end="0"/>
        <w:rPr>
          <w:sz w:val="20"/>
          <w:szCs w:val="20"/>
        </w:rPr>
      </w:pPr>
      <w:r>
        <w:rPr>
          <w:sz w:val="20"/>
          <w:szCs w:val="20"/>
        </w:rPr>
        <w:t>Участник не предоставил в полном объеме документы на субподрядчика согласно требованиям п.1.4 Документации.</w:t>
      </w:r>
    </w:p>
    <w:p>
      <w:pPr>
        <w:pStyle w:val="Normal"/>
        <w:widowControl w:val="false"/>
        <w:ind w:firstLine="567" w:end="0"/>
        <w:rPr>
          <w:sz w:val="20"/>
          <w:szCs w:val="20"/>
        </w:rPr>
      </w:pPr>
      <w:r>
        <w:rPr>
          <w:sz w:val="20"/>
          <w:szCs w:val="20"/>
        </w:rPr>
        <w:t>Заявка отклонена на основании п. 2.7.6. Документации об открытом конкурентном отборе.</w:t>
      </w:r>
    </w:p>
    <w:p>
      <w:pPr>
        <w:pStyle w:val="Normal"/>
        <w:widowControl w:val="false"/>
        <w:spacing w:before="120" w:after="120"/>
        <w:rPr/>
      </w:pPr>
      <w:r>
        <w:rPr>
          <w:b/>
          <w:sz w:val="20"/>
          <w:szCs w:val="20"/>
        </w:rPr>
        <w:t>Вопрос 4 повестки:</w:t>
      </w:r>
    </w:p>
    <w:p>
      <w:pPr>
        <w:pStyle w:val="Normal"/>
        <w:ind w:firstLine="567" w:end="0"/>
        <w:jc w:val="both"/>
        <w:rPr>
          <w:sz w:val="20"/>
          <w:szCs w:val="20"/>
        </w:rPr>
      </w:pPr>
      <w:r>
        <w:rPr>
          <w:sz w:val="20"/>
          <w:szCs w:val="20"/>
        </w:rPr>
        <w:t>О признании закупки несостоявшейся в связи с тем, что по результатам её проведения отклонены все заявки, за исключением одной заявки на участие в закупке.</w:t>
      </w:r>
    </w:p>
    <w:p>
      <w:pPr>
        <w:pStyle w:val="Normal"/>
        <w:rPr>
          <w:b/>
          <w:sz w:val="20"/>
          <w:szCs w:val="20"/>
        </w:rPr>
      </w:pPr>
      <w:r>
        <w:rPr>
          <w:b/>
          <w:sz w:val="20"/>
          <w:szCs w:val="20"/>
        </w:rPr>
      </w:r>
    </w:p>
    <w:p>
      <w:pPr>
        <w:pStyle w:val="Normal"/>
        <w:widowControl w:val="false"/>
        <w:spacing w:before="120" w:after="120"/>
        <w:rPr/>
      </w:pPr>
      <w:r>
        <w:rPr>
          <w:b/>
          <w:sz w:val="20"/>
          <w:szCs w:val="20"/>
        </w:rPr>
        <w:t>Вопрос 5 повестки:</w:t>
      </w:r>
    </w:p>
    <w:p>
      <w:pPr>
        <w:pStyle w:val="Normal"/>
        <w:spacing w:before="120" w:after="120"/>
        <w:ind w:firstLine="567" w:end="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Об определении победителя.</w:t>
      </w:r>
    </w:p>
    <w:p>
      <w:pPr>
        <w:pStyle w:val="Normal"/>
        <w:jc w:val="both"/>
        <w:rPr>
          <w:sz w:val="20"/>
          <w:szCs w:val="20"/>
        </w:rPr>
      </w:pPr>
      <w:r>
        <w:rPr>
          <w:sz w:val="20"/>
          <w:szCs w:val="20"/>
        </w:rPr>
        <w:t>Предлагается признать победителем ОБЩЕСТВО С ОГРАНИЧЕННОЙ ОТВЕТСТВЕННОСТЬЮ "СИБ МИР".</w:t>
      </w:r>
    </w:p>
    <w:p>
      <w:pPr>
        <w:pStyle w:val="Normal"/>
        <w:rPr>
          <w:b/>
          <w:sz w:val="20"/>
          <w:szCs w:val="20"/>
        </w:rPr>
      </w:pPr>
      <w:r>
        <w:rPr>
          <w:b/>
          <w:sz w:val="20"/>
          <w:szCs w:val="20"/>
        </w:rPr>
      </w:r>
    </w:p>
    <w:p>
      <w:pPr>
        <w:pStyle w:val="Normal"/>
        <w:widowControl w:val="false"/>
        <w:spacing w:before="120" w:after="120"/>
        <w:rPr/>
      </w:pPr>
      <w:r>
        <w:rPr>
          <w:b/>
          <w:sz w:val="20"/>
          <w:szCs w:val="20"/>
        </w:rPr>
        <w:t>Вопрос 6 повестки:</w:t>
      </w:r>
    </w:p>
    <w:p>
      <w:pPr>
        <w:pStyle w:val="Normal"/>
        <w:spacing w:before="120" w:after="120"/>
        <w:ind w:firstLine="567" w:end="0"/>
        <w:contextualSpacing/>
        <w:jc w:val="both"/>
        <w:rPr/>
      </w:pPr>
      <w:r>
        <w:rPr>
          <w:sz w:val="20"/>
          <w:szCs w:val="20"/>
        </w:rPr>
        <w:t>О возможности проведения преддоговорных переговоров с победителем.</w:t>
      </w:r>
    </w:p>
    <w:p>
      <w:pPr>
        <w:pStyle w:val="Normal"/>
        <w:jc w:val="both"/>
        <w:rPr>
          <w:sz w:val="20"/>
          <w:szCs w:val="20"/>
        </w:rPr>
      </w:pPr>
      <w:r>
        <w:rPr>
          <w:sz w:val="20"/>
          <w:szCs w:val="20"/>
        </w:rPr>
        <w:t>В целях уточнения несущественных для заказчика условий договора, а также улучшения технико-коммерческого предложения победителя допускается проведение преддоговорных переговоров с ОБЩЕСТВОМ С ОГРАНИЧЕННОЙ ОТВЕТСТВЕННОСТЬЮ "СИБ МИР".</w:t>
      </w:r>
    </w:p>
    <w:p>
      <w:pPr>
        <w:pStyle w:val="Normal"/>
        <w:spacing w:before="0" w:after="0"/>
        <w:ind w:firstLine="567" w:end="0"/>
        <w:contextualSpacing/>
        <w:jc w:val="both"/>
        <w:rPr>
          <w:b/>
          <w:sz w:val="20"/>
          <w:szCs w:val="20"/>
        </w:rPr>
      </w:pPr>
      <w:r>
        <w:rPr>
          <w:sz w:val="20"/>
          <w:szCs w:val="20"/>
        </w:rPr>
        <w:t>Зафиксировать результат преддоговорных переговоров в окончательных условиях заключаемого договора.</w:t>
      </w:r>
    </w:p>
    <w:p>
      <w:pPr>
        <w:pStyle w:val="Normal"/>
        <w:widowControl w:val="false"/>
        <w:spacing w:before="120" w:after="120"/>
        <w:rPr>
          <w:b/>
          <w:sz w:val="20"/>
          <w:szCs w:val="20"/>
        </w:rPr>
      </w:pPr>
      <w:r>
        <w:rPr>
          <w:b/>
          <w:sz w:val="20"/>
          <w:szCs w:val="20"/>
        </w:rPr>
      </w:r>
    </w:p>
    <w:p>
      <w:pPr>
        <w:pStyle w:val="Normal"/>
        <w:widowControl w:val="false"/>
        <w:spacing w:before="120" w:after="120"/>
        <w:rPr>
          <w:b/>
          <w:sz w:val="20"/>
          <w:szCs w:val="20"/>
        </w:rPr>
      </w:pPr>
      <w:r>
        <w:rPr>
          <w:b/>
          <w:sz w:val="20"/>
          <w:szCs w:val="20"/>
        </w:rPr>
        <w:t>РЕШИЛИ:</w:t>
      </w:r>
    </w:p>
    <w:p>
      <w:pPr>
        <w:pStyle w:val="Normal"/>
        <w:widowControl w:val="false"/>
        <w:numPr>
          <w:ilvl w:val="0"/>
          <w:numId w:val="2"/>
        </w:numPr>
        <w:tabs>
          <w:tab w:val="clear" w:pos="708"/>
          <w:tab w:val="left" w:pos="-2835" w:leader="none"/>
          <w:tab w:val="left" w:pos="284" w:leader="none"/>
        </w:tabs>
        <w:spacing w:before="120" w:after="0"/>
        <w:ind w:hanging="0" w:start="0" w:end="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Одобрить Сводное заключение Экспертного совета по рассмотрению заявок и подведению итогов открытого конкурентного отбора.</w:t>
      </w:r>
    </w:p>
    <w:p>
      <w:pPr>
        <w:pStyle w:val="Normal"/>
        <w:widowControl w:val="false"/>
        <w:numPr>
          <w:ilvl w:val="0"/>
          <w:numId w:val="2"/>
        </w:numPr>
        <w:tabs>
          <w:tab w:val="clear" w:pos="708"/>
          <w:tab w:val="left" w:pos="-2835" w:leader="none"/>
          <w:tab w:val="left" w:pos="284" w:leader="none"/>
        </w:tabs>
        <w:spacing w:before="120" w:after="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 xml:space="preserve">Признать заявку ОБЩЕСТВА С ОГРАНИЧЕННОЙ ОТВЕТСТВЕННОСТЬЮ "СИБ МИР" соответствующей условиям закупки. </w:t>
      </w:r>
    </w:p>
    <w:p>
      <w:pPr>
        <w:pStyle w:val="Normal"/>
        <w:widowControl w:val="false"/>
        <w:numPr>
          <w:ilvl w:val="0"/>
          <w:numId w:val="2"/>
        </w:numPr>
        <w:tabs>
          <w:tab w:val="clear" w:pos="708"/>
          <w:tab w:val="left" w:pos="-2835" w:leader="none"/>
          <w:tab w:val="left" w:pos="284" w:leader="none"/>
        </w:tabs>
        <w:spacing w:before="120" w:after="0"/>
        <w:ind w:hanging="0" w:start="0" w:end="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Отклонить заявку ОБЩЕСТВА С ОГРАНИЧЕННОЙ ОТВЕТСТВЕННОСТЬЮ "ФИРМА "СЕРВИСИНЖИНИРИНГ".</w:t>
      </w:r>
    </w:p>
    <w:p>
      <w:pPr>
        <w:pStyle w:val="Normal"/>
        <w:widowControl w:val="false"/>
        <w:numPr>
          <w:ilvl w:val="0"/>
          <w:numId w:val="2"/>
        </w:numPr>
        <w:tabs>
          <w:tab w:val="clear" w:pos="708"/>
          <w:tab w:val="left" w:pos="-2835" w:leader="none"/>
          <w:tab w:val="left" w:pos="284" w:leader="none"/>
        </w:tabs>
        <w:spacing w:before="60" w:after="60"/>
        <w:ind w:hanging="0" w:start="0" w:end="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Признать закупку несостоявшейся.</w:t>
      </w:r>
    </w:p>
    <w:p>
      <w:pPr>
        <w:pStyle w:val="Normal"/>
        <w:widowControl w:val="false"/>
        <w:numPr>
          <w:ilvl w:val="0"/>
          <w:numId w:val="2"/>
        </w:numPr>
        <w:tabs>
          <w:tab w:val="clear" w:pos="708"/>
          <w:tab w:val="left" w:pos="-2835" w:leader="none"/>
          <w:tab w:val="left" w:pos="0" w:leader="none"/>
          <w:tab w:val="left" w:pos="284" w:leader="none"/>
        </w:tabs>
        <w:spacing w:before="60" w:after="60"/>
        <w:ind w:hanging="0" w:start="0" w:end="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 xml:space="preserve">Признать Победителем ОБЩЕСТВО С ОГРАНИЧЕННОЙ ОТВЕТСТВЕННОСТЬЮ "СИБ МИР" ИНН 5404213959 (119435, город Москва, Малая Пироговская ул, д. 18 стр. 1, помещ. XI ком. 22). Определить лучшей заявку ОБЩЕСТВА С ОГРАНИЧЕННОЙ ОТВЕТСТВЕННОСТЬЮ "СИБ МИР" на общую сумму 80 070 707,20 руб. (с учетом НДС), </w:t>
      </w:r>
      <w:r>
        <w:rPr>
          <w:rFonts w:eastAsia="Calibri"/>
          <w:sz w:val="20"/>
          <w:szCs w:val="20"/>
          <w:lang w:eastAsia="en-US"/>
        </w:rPr>
        <w:t xml:space="preserve">в соответствии с Приложением № 1.   </w:t>
      </w:r>
    </w:p>
    <w:p>
      <w:pPr>
        <w:pStyle w:val="Normal"/>
        <w:jc w:val="both"/>
        <w:rPr>
          <w:sz w:val="20"/>
          <w:szCs w:val="20"/>
        </w:rPr>
      </w:pPr>
      <w:r>
        <w:rPr>
          <w:sz w:val="20"/>
          <w:szCs w:val="20"/>
        </w:rPr>
        <w:t>4. Допускается проведение преддоговорных переговоров с ОБЩЕСТВОМ С ОГРАНИЧЕННОЙ ОТВЕТСТВЕННОСТЬЮ "СИБ МИР" с целью уточнения несущественных для заказчика условий договора, а также улучшения технико-коммерческого предложения победителя.</w:t>
      </w:r>
    </w:p>
    <w:p>
      <w:pPr>
        <w:pStyle w:val="Normal"/>
        <w:tabs>
          <w:tab w:val="clear" w:pos="708"/>
          <w:tab w:val="left" w:pos="284" w:leader="none"/>
          <w:tab w:val="left" w:pos="709" w:leader="none"/>
        </w:tabs>
        <w:spacing w:before="120" w:after="0"/>
        <w:contextualSpacing/>
        <w:jc w:val="both"/>
        <w:rPr/>
      </w:pPr>
      <w:r>
        <w:rPr>
          <w:sz w:val="20"/>
          <w:szCs w:val="20"/>
        </w:rPr>
        <w:t>Зафиксировать результат преддоговорных переговоров в окончательных условиях заключаемого договора и заключить договор на условиях, согласованных заказчиком и победителем в рамках проведенных преддоговорных переговоров.</w:t>
      </w:r>
    </w:p>
    <w:p>
      <w:pPr>
        <w:pStyle w:val="Normal"/>
        <w:widowControl w:val="false"/>
        <w:spacing w:before="120" w:after="120"/>
        <w:rPr>
          <w:b/>
          <w:sz w:val="20"/>
          <w:szCs w:val="20"/>
        </w:rPr>
      </w:pPr>
      <w:r>
        <w:rPr>
          <w:b/>
          <w:sz w:val="20"/>
          <w:szCs w:val="20"/>
        </w:rPr>
        <w:t>РЕЗУЛЬТАТЫ ГОЛОСОВАНИЯ:</w:t>
      </w:r>
    </w:p>
    <w:p>
      <w:pPr>
        <w:pStyle w:val="Normal"/>
        <w:widowControl w:val="false"/>
        <w:rPr/>
      </w:pPr>
      <w:r>
        <w:rPr>
          <w:i/>
          <w:sz w:val="20"/>
          <w:szCs w:val="20"/>
        </w:rPr>
        <w:t>«За» 9 членов Комиссии по осуществлению конкурентных закупок АО «Теплосеть Санкт-Петербурга»</w:t>
      </w:r>
    </w:p>
    <w:p>
      <w:pPr>
        <w:pStyle w:val="Normal"/>
        <w:widowControl w:val="false"/>
        <w:rPr>
          <w:i/>
          <w:i/>
          <w:sz w:val="20"/>
          <w:szCs w:val="20"/>
        </w:rPr>
      </w:pPr>
      <w:r>
        <w:rPr>
          <w:i/>
          <w:sz w:val="20"/>
          <w:szCs w:val="20"/>
        </w:rPr>
        <w:t>«Против» 0 членов Комиссии по осуществлению конкурентных закупок АО «Теплосеть Санкт-Петербурга»</w:t>
      </w:r>
    </w:p>
    <w:p>
      <w:pPr>
        <w:pStyle w:val="Normal"/>
        <w:widowControl w:val="false"/>
        <w:ind w:end="-143"/>
        <w:rPr/>
      </w:pPr>
      <w:r>
        <w:rPr>
          <w:i/>
          <w:sz w:val="20"/>
          <w:szCs w:val="20"/>
        </w:rPr>
        <w:t>«Воздержалось» 0 членов Комиссии по осуществлению конкурентных закупок АО «Теплосеть Санкт-Петербурга»</w:t>
      </w:r>
    </w:p>
    <w:p>
      <w:pPr>
        <w:pStyle w:val="Normal"/>
        <w:widowControl w:val="false"/>
        <w:spacing w:before="120" w:after="120"/>
        <w:jc w:val="both"/>
        <w:rPr/>
      </w:pPr>
      <w:r>
        <w:rPr>
          <w:b/>
          <w:sz w:val="20"/>
          <w:szCs w:val="20"/>
        </w:rPr>
        <w:t>ПОДПИСИ УЧАСТВУЮЩИХ ЧЛЕНОВ КОМИССИИ ПО ОСУЩЕСТВЛЕНИЮ КОНКУРЕНТНЫХ ЗАКУПОК АО «ТЕПЛОСЕТЬ САНКТ-ПЕТЕРБУРГА»:</w:t>
      </w:r>
    </w:p>
    <w:p>
      <w:pPr>
        <w:pStyle w:val="Normal"/>
        <w:widowControl w:val="false"/>
        <w:spacing w:before="120" w:after="120"/>
        <w:ind w:end="-285"/>
        <w:rPr/>
      </w:pPr>
      <w:r>
        <w:rPr>
          <w:sz w:val="20"/>
          <w:szCs w:val="20"/>
          <w:u w:val="single"/>
        </w:rPr>
        <w:t>Заместитель председателя Комиссии по осуществлению конкурентных закупок АО «Теплосеть</w:t>
      </w:r>
      <w:r>
        <w:rPr/>
        <w:t xml:space="preserve"> Санкт-Петербурга»:</w:t>
      </w:r>
    </w:p>
    <w:tbl>
      <w:tblPr>
        <w:tblW w:w="9747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087"/>
        <w:gridCol w:w="542"/>
        <w:gridCol w:w="1792"/>
        <w:gridCol w:w="2653"/>
        <w:gridCol w:w="2673"/>
      </w:tblGrid>
      <w:tr>
        <w:trPr>
          <w:trHeight w:val="364" w:hRule="atLeast"/>
        </w:trPr>
        <w:tc>
          <w:tcPr>
            <w:tcW w:w="2087" w:type="dxa"/>
            <w:tcBorders/>
          </w:tcPr>
          <w:p>
            <w:pPr>
              <w:pStyle w:val="Normal"/>
              <w:widowControl w:val="false"/>
              <w:snapToGrid w:val="false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542" w:type="dxa"/>
            <w:tcBorders/>
          </w:tcPr>
          <w:p>
            <w:pPr>
              <w:pStyle w:val="Normal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432" w:leader="none"/>
              </w:tabs>
              <w:snapToGrid w:val="false"/>
              <w:ind w:hanging="360" w:start="432" w:end="0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1792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napToGrid w:val="false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2653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за</w:t>
            </w:r>
          </w:p>
        </w:tc>
        <w:tc>
          <w:tcPr>
            <w:tcW w:w="2673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Чистяков С.С.</w:t>
            </w:r>
          </w:p>
        </w:tc>
      </w:tr>
      <w:tr>
        <w:trPr>
          <w:trHeight w:val="150" w:hRule="atLeast"/>
        </w:trPr>
        <w:tc>
          <w:tcPr>
            <w:tcW w:w="2087" w:type="dxa"/>
            <w:tcBorders/>
          </w:tcPr>
          <w:p>
            <w:pPr>
              <w:pStyle w:val="Normal"/>
              <w:widowControl w:val="false"/>
              <w:snapToGrid w:val="false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542" w:type="dxa"/>
            <w:tcBorders/>
          </w:tcPr>
          <w:p>
            <w:pPr>
              <w:pStyle w:val="Normal"/>
              <w:widowControl w:val="false"/>
              <w:snapToGrid w:val="false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1792" w:type="dxa"/>
            <w:tcBorders>
              <w:top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(Подпись)</w:t>
            </w:r>
          </w:p>
        </w:tc>
        <w:tc>
          <w:tcPr>
            <w:tcW w:w="2653" w:type="dxa"/>
            <w:tcBorders>
              <w:top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за/против/воздержался</w:t>
            </w:r>
          </w:p>
        </w:tc>
        <w:tc>
          <w:tcPr>
            <w:tcW w:w="2673" w:type="dxa"/>
            <w:tcBorders>
              <w:top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(Фамилия И.О.)</w:t>
            </w:r>
          </w:p>
        </w:tc>
      </w:tr>
    </w:tbl>
    <w:p>
      <w:pPr>
        <w:pStyle w:val="Normal"/>
        <w:widowControl w:val="false"/>
        <w:spacing w:before="120" w:after="120"/>
        <w:jc w:val="both"/>
        <w:rPr/>
      </w:pPr>
      <w:r>
        <w:rPr>
          <w:sz w:val="20"/>
          <w:szCs w:val="20"/>
          <w:u w:val="single"/>
        </w:rPr>
        <w:t>Члены Комиссии по осуществлению конкурентных закупок АО «Теплосеть</w:t>
      </w:r>
      <w:r>
        <w:rPr/>
        <w:t xml:space="preserve"> Санкт-Петербурга»:</w:t>
      </w:r>
    </w:p>
    <w:tbl>
      <w:tblPr>
        <w:tblW w:w="9747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978"/>
        <w:gridCol w:w="523"/>
        <w:gridCol w:w="1758"/>
        <w:gridCol w:w="2856"/>
        <w:gridCol w:w="2632"/>
      </w:tblGrid>
      <w:tr>
        <w:trPr>
          <w:trHeight w:val="150" w:hRule="atLeast"/>
        </w:trPr>
        <w:tc>
          <w:tcPr>
            <w:tcW w:w="1978" w:type="dxa"/>
            <w:tcBorders/>
          </w:tcPr>
          <w:p>
            <w:pPr>
              <w:pStyle w:val="Normal"/>
              <w:widowControl w:val="false"/>
              <w:snapToGrid w:val="false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523" w:type="dxa"/>
            <w:tcBorders/>
          </w:tcPr>
          <w:p>
            <w:pPr>
              <w:pStyle w:val="Normal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432" w:leader="none"/>
              </w:tabs>
              <w:snapToGrid w:val="false"/>
              <w:ind w:hanging="360" w:start="432" w:end="0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1758" w:type="dxa"/>
            <w:tcBorders/>
          </w:tcPr>
          <w:p>
            <w:pPr>
              <w:pStyle w:val="Normal"/>
              <w:widowControl w:val="false"/>
              <w:snapToGrid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2856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за</w:t>
            </w:r>
          </w:p>
        </w:tc>
        <w:tc>
          <w:tcPr>
            <w:tcW w:w="2632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Буряк И.Н.</w:t>
            </w:r>
          </w:p>
        </w:tc>
      </w:tr>
      <w:tr>
        <w:trPr>
          <w:trHeight w:val="150" w:hRule="atLeast"/>
        </w:trPr>
        <w:tc>
          <w:tcPr>
            <w:tcW w:w="1978" w:type="dxa"/>
            <w:tcBorders/>
          </w:tcPr>
          <w:p>
            <w:pPr>
              <w:pStyle w:val="Normal"/>
              <w:widowControl w:val="false"/>
              <w:snapToGrid w:val="false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523" w:type="dxa"/>
            <w:tcBorders/>
          </w:tcPr>
          <w:p>
            <w:pPr>
              <w:pStyle w:val="Normal"/>
              <w:widowControl w:val="false"/>
              <w:snapToGrid w:val="false"/>
              <w:ind w:start="432" w:end="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1758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(Подпись)</w:t>
            </w:r>
          </w:p>
        </w:tc>
        <w:tc>
          <w:tcPr>
            <w:tcW w:w="2856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за/против/воздержался</w:t>
            </w:r>
          </w:p>
        </w:tc>
        <w:tc>
          <w:tcPr>
            <w:tcW w:w="2632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(Фамилия И.О.)</w:t>
            </w:r>
          </w:p>
        </w:tc>
      </w:tr>
      <w:tr>
        <w:trPr>
          <w:trHeight w:val="150" w:hRule="atLeast"/>
        </w:trPr>
        <w:tc>
          <w:tcPr>
            <w:tcW w:w="1978" w:type="dxa"/>
            <w:tcBorders/>
          </w:tcPr>
          <w:p>
            <w:pPr>
              <w:pStyle w:val="Normal"/>
              <w:widowControl w:val="false"/>
              <w:snapToGrid w:val="false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523" w:type="dxa"/>
            <w:tcBorders/>
          </w:tcPr>
          <w:p>
            <w:pPr>
              <w:pStyle w:val="Normal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432" w:leader="none"/>
              </w:tabs>
              <w:snapToGrid w:val="false"/>
              <w:ind w:hanging="360" w:start="432" w:end="0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1758" w:type="dxa"/>
            <w:tcBorders/>
          </w:tcPr>
          <w:p>
            <w:pPr>
              <w:pStyle w:val="Normal"/>
              <w:widowControl w:val="false"/>
              <w:snapToGrid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2856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за</w:t>
            </w:r>
          </w:p>
        </w:tc>
        <w:tc>
          <w:tcPr>
            <w:tcW w:w="2632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Пахунов Е.М.</w:t>
            </w:r>
          </w:p>
        </w:tc>
      </w:tr>
      <w:tr>
        <w:trPr>
          <w:trHeight w:val="150" w:hRule="atLeast"/>
        </w:trPr>
        <w:tc>
          <w:tcPr>
            <w:tcW w:w="1978" w:type="dxa"/>
            <w:tcBorders/>
          </w:tcPr>
          <w:p>
            <w:pPr>
              <w:pStyle w:val="Normal"/>
              <w:widowControl w:val="false"/>
              <w:snapToGrid w:val="false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523" w:type="dxa"/>
            <w:tcBorders/>
          </w:tcPr>
          <w:p>
            <w:pPr>
              <w:pStyle w:val="Normal"/>
              <w:widowControl w:val="false"/>
              <w:snapToGrid w:val="false"/>
              <w:ind w:start="432" w:end="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1758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(Подпись)</w:t>
            </w:r>
          </w:p>
        </w:tc>
        <w:tc>
          <w:tcPr>
            <w:tcW w:w="2856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за/против/воздержался</w:t>
            </w:r>
          </w:p>
        </w:tc>
        <w:tc>
          <w:tcPr>
            <w:tcW w:w="2632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(Фамилия И.О.)</w:t>
            </w:r>
          </w:p>
        </w:tc>
      </w:tr>
      <w:tr>
        <w:trPr>
          <w:trHeight w:val="150" w:hRule="atLeast"/>
        </w:trPr>
        <w:tc>
          <w:tcPr>
            <w:tcW w:w="1978" w:type="dxa"/>
            <w:tcBorders/>
          </w:tcPr>
          <w:p>
            <w:pPr>
              <w:pStyle w:val="Normal"/>
              <w:widowControl w:val="false"/>
              <w:snapToGrid w:val="false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523" w:type="dxa"/>
            <w:tcBorders/>
          </w:tcPr>
          <w:p>
            <w:pPr>
              <w:pStyle w:val="Normal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432" w:leader="none"/>
              </w:tabs>
              <w:snapToGrid w:val="false"/>
              <w:ind w:hanging="360" w:start="432" w:end="0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1758" w:type="dxa"/>
            <w:tcBorders/>
          </w:tcPr>
          <w:p>
            <w:pPr>
              <w:pStyle w:val="Normal"/>
              <w:widowControl w:val="false"/>
              <w:snapToGrid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2856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за</w:t>
            </w:r>
          </w:p>
        </w:tc>
        <w:tc>
          <w:tcPr>
            <w:tcW w:w="2632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Фомичев А.С.</w:t>
            </w:r>
          </w:p>
        </w:tc>
      </w:tr>
      <w:tr>
        <w:trPr>
          <w:trHeight w:val="150" w:hRule="atLeast"/>
        </w:trPr>
        <w:tc>
          <w:tcPr>
            <w:tcW w:w="1978" w:type="dxa"/>
            <w:tcBorders/>
          </w:tcPr>
          <w:p>
            <w:pPr>
              <w:pStyle w:val="Normal"/>
              <w:widowControl w:val="false"/>
              <w:snapToGrid w:val="false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523" w:type="dxa"/>
            <w:tcBorders/>
          </w:tcPr>
          <w:p>
            <w:pPr>
              <w:pStyle w:val="Normal"/>
              <w:widowControl w:val="false"/>
              <w:snapToGrid w:val="false"/>
              <w:ind w:start="432" w:end="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1758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(Подпись)</w:t>
            </w:r>
          </w:p>
        </w:tc>
        <w:tc>
          <w:tcPr>
            <w:tcW w:w="2856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за/против/воздержался</w:t>
            </w:r>
          </w:p>
        </w:tc>
        <w:tc>
          <w:tcPr>
            <w:tcW w:w="2632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(Фамилия И.О.)</w:t>
            </w:r>
          </w:p>
        </w:tc>
      </w:tr>
      <w:tr>
        <w:trPr>
          <w:trHeight w:val="150" w:hRule="atLeast"/>
        </w:trPr>
        <w:tc>
          <w:tcPr>
            <w:tcW w:w="1978" w:type="dxa"/>
            <w:tcBorders/>
          </w:tcPr>
          <w:p>
            <w:pPr>
              <w:pStyle w:val="Normal"/>
              <w:widowControl w:val="false"/>
              <w:snapToGrid w:val="false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523" w:type="dxa"/>
            <w:tcBorders/>
          </w:tcPr>
          <w:p>
            <w:pPr>
              <w:pStyle w:val="Normal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432" w:leader="none"/>
              </w:tabs>
              <w:snapToGrid w:val="false"/>
              <w:ind w:hanging="360" w:start="432" w:end="0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1758" w:type="dxa"/>
            <w:tcBorders/>
          </w:tcPr>
          <w:p>
            <w:pPr>
              <w:pStyle w:val="Normal"/>
              <w:widowControl w:val="false"/>
              <w:snapToGrid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2856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за</w:t>
            </w:r>
          </w:p>
        </w:tc>
        <w:tc>
          <w:tcPr>
            <w:tcW w:w="2632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Лавилин В.А.</w:t>
            </w:r>
          </w:p>
        </w:tc>
      </w:tr>
      <w:tr>
        <w:trPr>
          <w:trHeight w:val="150" w:hRule="atLeast"/>
        </w:trPr>
        <w:tc>
          <w:tcPr>
            <w:tcW w:w="1978" w:type="dxa"/>
            <w:tcBorders/>
          </w:tcPr>
          <w:p>
            <w:pPr>
              <w:pStyle w:val="Normal"/>
              <w:widowControl w:val="false"/>
              <w:snapToGrid w:val="false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523" w:type="dxa"/>
            <w:tcBorders/>
          </w:tcPr>
          <w:p>
            <w:pPr>
              <w:pStyle w:val="Normal"/>
              <w:widowControl w:val="false"/>
              <w:snapToGrid w:val="false"/>
              <w:ind w:start="432" w:end="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1758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(Подпись)</w:t>
            </w:r>
          </w:p>
        </w:tc>
        <w:tc>
          <w:tcPr>
            <w:tcW w:w="2856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за/против/воздержался</w:t>
            </w:r>
          </w:p>
        </w:tc>
        <w:tc>
          <w:tcPr>
            <w:tcW w:w="2632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(Фамилия И.О.)</w:t>
            </w:r>
          </w:p>
        </w:tc>
      </w:tr>
      <w:tr>
        <w:trPr>
          <w:trHeight w:val="150" w:hRule="atLeast"/>
        </w:trPr>
        <w:tc>
          <w:tcPr>
            <w:tcW w:w="1978" w:type="dxa"/>
            <w:tcBorders/>
          </w:tcPr>
          <w:p>
            <w:pPr>
              <w:pStyle w:val="Normal"/>
              <w:widowControl w:val="false"/>
              <w:snapToGrid w:val="false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523" w:type="dxa"/>
            <w:tcBorders/>
          </w:tcPr>
          <w:p>
            <w:pPr>
              <w:pStyle w:val="Normal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432" w:leader="none"/>
              </w:tabs>
              <w:snapToGrid w:val="false"/>
              <w:ind w:hanging="360" w:start="432" w:end="0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1758" w:type="dxa"/>
            <w:tcBorders/>
          </w:tcPr>
          <w:p>
            <w:pPr>
              <w:pStyle w:val="Normal"/>
              <w:widowControl w:val="false"/>
              <w:snapToGrid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2856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за</w:t>
            </w:r>
          </w:p>
        </w:tc>
        <w:tc>
          <w:tcPr>
            <w:tcW w:w="2632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Лещинская О.С.</w:t>
            </w:r>
          </w:p>
        </w:tc>
      </w:tr>
      <w:tr>
        <w:trPr>
          <w:trHeight w:val="150" w:hRule="atLeast"/>
        </w:trPr>
        <w:tc>
          <w:tcPr>
            <w:tcW w:w="1978" w:type="dxa"/>
            <w:tcBorders/>
          </w:tcPr>
          <w:p>
            <w:pPr>
              <w:pStyle w:val="Normal"/>
              <w:widowControl w:val="false"/>
              <w:snapToGrid w:val="false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523" w:type="dxa"/>
            <w:tcBorders/>
          </w:tcPr>
          <w:p>
            <w:pPr>
              <w:pStyle w:val="Normal"/>
              <w:widowControl w:val="false"/>
              <w:snapToGrid w:val="false"/>
              <w:ind w:start="432" w:end="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1758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(Подпись)</w:t>
            </w:r>
          </w:p>
        </w:tc>
        <w:tc>
          <w:tcPr>
            <w:tcW w:w="2856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за/против/воздержался</w:t>
            </w:r>
          </w:p>
        </w:tc>
        <w:tc>
          <w:tcPr>
            <w:tcW w:w="2632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(Фамилия И.О.)</w:t>
            </w:r>
          </w:p>
        </w:tc>
      </w:tr>
      <w:tr>
        <w:trPr>
          <w:trHeight w:val="150" w:hRule="atLeast"/>
        </w:trPr>
        <w:tc>
          <w:tcPr>
            <w:tcW w:w="1978" w:type="dxa"/>
            <w:tcBorders/>
          </w:tcPr>
          <w:p>
            <w:pPr>
              <w:pStyle w:val="Normal"/>
              <w:widowControl w:val="false"/>
              <w:snapToGrid w:val="false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523" w:type="dxa"/>
            <w:tcBorders/>
          </w:tcPr>
          <w:p>
            <w:pPr>
              <w:pStyle w:val="Normal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432" w:leader="none"/>
              </w:tabs>
              <w:snapToGrid w:val="false"/>
              <w:ind w:hanging="360" w:start="432" w:end="0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1758" w:type="dxa"/>
            <w:tcBorders/>
          </w:tcPr>
          <w:p>
            <w:pPr>
              <w:pStyle w:val="Normal"/>
              <w:widowControl w:val="false"/>
              <w:snapToGrid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2856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за</w:t>
            </w:r>
          </w:p>
        </w:tc>
        <w:tc>
          <w:tcPr>
            <w:tcW w:w="2632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Пуговкин В.М.</w:t>
            </w:r>
          </w:p>
        </w:tc>
      </w:tr>
      <w:tr>
        <w:trPr>
          <w:trHeight w:val="150" w:hRule="atLeast"/>
        </w:trPr>
        <w:tc>
          <w:tcPr>
            <w:tcW w:w="1978" w:type="dxa"/>
            <w:tcBorders/>
          </w:tcPr>
          <w:p>
            <w:pPr>
              <w:pStyle w:val="Normal"/>
              <w:widowControl w:val="false"/>
              <w:snapToGrid w:val="false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523" w:type="dxa"/>
            <w:tcBorders/>
          </w:tcPr>
          <w:p>
            <w:pPr>
              <w:pStyle w:val="Normal"/>
              <w:widowControl w:val="false"/>
              <w:snapToGrid w:val="false"/>
              <w:ind w:start="432" w:end="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1758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(Подпись)</w:t>
            </w:r>
          </w:p>
        </w:tc>
        <w:tc>
          <w:tcPr>
            <w:tcW w:w="2856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за/против/воздержался</w:t>
            </w:r>
          </w:p>
        </w:tc>
        <w:tc>
          <w:tcPr>
            <w:tcW w:w="2632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(Фамилия И.О.)</w:t>
            </w:r>
          </w:p>
        </w:tc>
      </w:tr>
      <w:tr>
        <w:trPr>
          <w:trHeight w:val="150" w:hRule="atLeast"/>
        </w:trPr>
        <w:tc>
          <w:tcPr>
            <w:tcW w:w="1978" w:type="dxa"/>
            <w:tcBorders/>
          </w:tcPr>
          <w:p>
            <w:pPr>
              <w:pStyle w:val="Normal"/>
              <w:widowControl w:val="false"/>
              <w:snapToGrid w:val="false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523" w:type="dxa"/>
            <w:tcBorders/>
          </w:tcPr>
          <w:p>
            <w:pPr>
              <w:pStyle w:val="Normal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432" w:leader="none"/>
              </w:tabs>
              <w:snapToGrid w:val="false"/>
              <w:ind w:hanging="360" w:start="432" w:end="0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1758" w:type="dxa"/>
            <w:tcBorders/>
          </w:tcPr>
          <w:p>
            <w:pPr>
              <w:pStyle w:val="Normal"/>
              <w:widowControl w:val="false"/>
              <w:snapToGrid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2856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за</w:t>
            </w:r>
          </w:p>
        </w:tc>
        <w:tc>
          <w:tcPr>
            <w:tcW w:w="2632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Северовостоков В.В.</w:t>
            </w:r>
          </w:p>
        </w:tc>
      </w:tr>
      <w:tr>
        <w:trPr>
          <w:trHeight w:val="150" w:hRule="atLeast"/>
        </w:trPr>
        <w:tc>
          <w:tcPr>
            <w:tcW w:w="1978" w:type="dxa"/>
            <w:tcBorders/>
          </w:tcPr>
          <w:p>
            <w:pPr>
              <w:pStyle w:val="Normal"/>
              <w:widowControl w:val="false"/>
              <w:snapToGrid w:val="false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523" w:type="dxa"/>
            <w:tcBorders/>
          </w:tcPr>
          <w:p>
            <w:pPr>
              <w:pStyle w:val="Normal"/>
              <w:widowControl w:val="false"/>
              <w:snapToGrid w:val="false"/>
              <w:ind w:start="432" w:end="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1758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(Подпись)</w:t>
            </w:r>
          </w:p>
        </w:tc>
        <w:tc>
          <w:tcPr>
            <w:tcW w:w="2856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за/против/воздержался</w:t>
            </w:r>
          </w:p>
        </w:tc>
        <w:tc>
          <w:tcPr>
            <w:tcW w:w="2632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(Фамилия И.О.)</w:t>
            </w:r>
          </w:p>
        </w:tc>
      </w:tr>
      <w:tr>
        <w:trPr>
          <w:trHeight w:val="150" w:hRule="atLeast"/>
        </w:trPr>
        <w:tc>
          <w:tcPr>
            <w:tcW w:w="1978" w:type="dxa"/>
            <w:tcBorders/>
          </w:tcPr>
          <w:p>
            <w:pPr>
              <w:pStyle w:val="Normal"/>
              <w:widowControl w:val="false"/>
              <w:snapToGrid w:val="false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523" w:type="dxa"/>
            <w:tcBorders/>
          </w:tcPr>
          <w:p>
            <w:pPr>
              <w:pStyle w:val="Normal"/>
              <w:widowControl w:val="false"/>
              <w:snapToGrid w:val="false"/>
              <w:ind w:start="432" w:end="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1758" w:type="dxa"/>
            <w:tcBorders/>
          </w:tcPr>
          <w:p>
            <w:pPr>
              <w:pStyle w:val="Normal"/>
              <w:widowControl w:val="false"/>
              <w:snapToGrid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2856" w:type="dxa"/>
            <w:tcBorders/>
          </w:tcPr>
          <w:p>
            <w:pPr>
              <w:pStyle w:val="Normal"/>
              <w:widowControl w:val="false"/>
              <w:jc w:val="center"/>
              <w:rPr>
                <w:i/>
                <w:i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за</w:t>
            </w:r>
          </w:p>
        </w:tc>
        <w:tc>
          <w:tcPr>
            <w:tcW w:w="2632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Медведева Н.Л.</w:t>
            </w:r>
          </w:p>
        </w:tc>
      </w:tr>
      <w:tr>
        <w:trPr>
          <w:trHeight w:val="150" w:hRule="atLeast"/>
        </w:trPr>
        <w:tc>
          <w:tcPr>
            <w:tcW w:w="1978" w:type="dxa"/>
            <w:tcBorders/>
          </w:tcPr>
          <w:p>
            <w:pPr>
              <w:pStyle w:val="Normal"/>
              <w:widowControl w:val="false"/>
              <w:snapToGrid w:val="false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523" w:type="dxa"/>
            <w:tcBorders/>
          </w:tcPr>
          <w:p>
            <w:pPr>
              <w:pStyle w:val="Normal"/>
              <w:widowControl w:val="false"/>
              <w:snapToGrid w:val="false"/>
              <w:ind w:start="432" w:end="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1758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(Подпись)</w:t>
            </w:r>
          </w:p>
        </w:tc>
        <w:tc>
          <w:tcPr>
            <w:tcW w:w="2856" w:type="dxa"/>
            <w:tcBorders/>
          </w:tcPr>
          <w:p>
            <w:pPr>
              <w:pStyle w:val="Normal"/>
              <w:widowControl w:val="false"/>
              <w:jc w:val="center"/>
              <w:rPr>
                <w:i/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за/против/воздержался</w:t>
            </w:r>
          </w:p>
        </w:tc>
        <w:tc>
          <w:tcPr>
            <w:tcW w:w="2632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(Фамилия И.О.)</w:t>
            </w:r>
          </w:p>
        </w:tc>
      </w:tr>
    </w:tbl>
    <w:p>
      <w:pPr>
        <w:sectPr>
          <w:footerReference w:type="default" r:id="rId2"/>
          <w:footerReference w:type="first" r:id="rId3"/>
          <w:type w:val="nextPage"/>
          <w:pgSz w:w="11906" w:h="16838"/>
          <w:pgMar w:left="1276" w:right="850" w:gutter="0" w:header="0" w:top="567" w:footer="709" w:bottom="765"/>
          <w:pgNumType w:fmt="decimal"/>
          <w:formProt w:val="false"/>
          <w:titlePg/>
          <w:textDirection w:val="lrTb"/>
          <w:docGrid w:type="default" w:linePitch="360" w:charSpace="0"/>
        </w:sectPr>
      </w:pPr>
    </w:p>
    <w:p>
      <w:pPr>
        <w:pStyle w:val="Normal"/>
        <w:widowControl w:val="false"/>
        <w:spacing w:before="120" w:after="120"/>
        <w:jc w:val="end"/>
        <w:rPr>
          <w:b/>
          <w:sz w:val="20"/>
          <w:szCs w:val="20"/>
        </w:rPr>
      </w:pPr>
      <w:r>
        <w:rPr>
          <w:b/>
          <w:sz w:val="20"/>
          <w:szCs w:val="20"/>
        </w:rPr>
        <w:t>Приложение № 1 к протоколу от «12» декабря 2025 года № 32515445549_1</w:t>
      </w:r>
    </w:p>
    <w:p>
      <w:pPr>
        <w:pStyle w:val="Normal"/>
        <w:widowControl w:val="false"/>
        <w:spacing w:before="120" w:after="120"/>
        <w:jc w:val="end"/>
        <w:rPr>
          <w:b/>
          <w:sz w:val="20"/>
          <w:szCs w:val="20"/>
        </w:rPr>
      </w:pPr>
      <w:r>
        <w:rPr>
          <w:b/>
          <w:sz w:val="20"/>
          <w:szCs w:val="20"/>
        </w:rPr>
      </w:r>
    </w:p>
    <w:tbl>
      <w:tblPr>
        <w:tblW w:w="15418" w:type="dxa"/>
        <w:jc w:val="start"/>
        <w:tblInd w:w="-176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524"/>
        <w:gridCol w:w="2375"/>
        <w:gridCol w:w="1650"/>
        <w:gridCol w:w="7869"/>
      </w:tblGrid>
      <w:tr>
        <w:trPr>
          <w:trHeight w:val="283" w:hRule="atLeast"/>
        </w:trPr>
        <w:tc>
          <w:tcPr>
            <w:tcW w:w="15418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Сводное заключение Экспертного совета по рассмотрению заявок и подведению итогов открытого конкурентного отбора</w:t>
            </w:r>
          </w:p>
        </w:tc>
      </w:tr>
      <w:tr>
        <w:trPr>
          <w:trHeight w:val="283" w:hRule="atLeast"/>
        </w:trPr>
        <w:tc>
          <w:tcPr>
            <w:tcW w:w="3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Принципал</w:t>
            </w:r>
          </w:p>
        </w:tc>
        <w:tc>
          <w:tcPr>
            <w:tcW w:w="11894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АО «Теплосеть Санкт-Петербурга»</w:t>
            </w:r>
          </w:p>
        </w:tc>
      </w:tr>
      <w:tr>
        <w:trPr>
          <w:trHeight w:val="283" w:hRule="atLeast"/>
        </w:trPr>
        <w:tc>
          <w:tcPr>
            <w:tcW w:w="3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Наименование закупки</w:t>
            </w:r>
          </w:p>
        </w:tc>
        <w:tc>
          <w:tcPr>
            <w:tcW w:w="11894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Выполнение работ по корректировке и реализации проекта: "Модернизация системы АСДТУ НПС "Московская" (в части АСУ ТП и АСДУ "нижнего уровня" и ИБ)" (4444/4.6.16-785) </w:t>
            </w:r>
          </w:p>
        </w:tc>
      </w:tr>
      <w:tr>
        <w:trPr>
          <w:trHeight w:val="283" w:hRule="atLeast"/>
        </w:trPr>
        <w:tc>
          <w:tcPr>
            <w:tcW w:w="3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Номер закупки в ЕИС</w:t>
            </w:r>
          </w:p>
        </w:tc>
        <w:tc>
          <w:tcPr>
            <w:tcW w:w="11894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32515445549</w:t>
            </w:r>
          </w:p>
        </w:tc>
      </w:tr>
      <w:tr>
        <w:trPr>
          <w:trHeight w:val="283" w:hRule="atLeast"/>
        </w:trPr>
        <w:tc>
          <w:tcPr>
            <w:tcW w:w="3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Способ закупки</w:t>
            </w:r>
          </w:p>
        </w:tc>
        <w:tc>
          <w:tcPr>
            <w:tcW w:w="11894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Открытый конкурентный отбор в электронной форме</w:t>
            </w:r>
          </w:p>
        </w:tc>
      </w:tr>
      <w:tr>
        <w:trPr>
          <w:trHeight w:val="283" w:hRule="atLeast"/>
        </w:trPr>
        <w:tc>
          <w:tcPr>
            <w:tcW w:w="3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НМЦД, руб. (c НДС)</w:t>
            </w:r>
          </w:p>
        </w:tc>
        <w:tc>
          <w:tcPr>
            <w:tcW w:w="11894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22"/>
                <w:szCs w:val="22"/>
              </w:rPr>
              <w:t>80 070 707,20</w:t>
            </w:r>
          </w:p>
        </w:tc>
      </w:tr>
      <w:tr>
        <w:trPr>
          <w:trHeight w:val="283" w:hRule="atLeast"/>
        </w:trPr>
        <w:tc>
          <w:tcPr>
            <w:tcW w:w="3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Наименование участника процедуры</w:t>
            </w:r>
          </w:p>
        </w:tc>
        <w:tc>
          <w:tcPr>
            <w:tcW w:w="23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Ценовое предложение, руб. (c НДС)</w:t>
            </w:r>
          </w:p>
        </w:tc>
        <w:tc>
          <w:tcPr>
            <w:tcW w:w="16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Отклонение или допуск</w:t>
            </w:r>
          </w:p>
        </w:tc>
        <w:tc>
          <w:tcPr>
            <w:tcW w:w="78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Комментарий</w:t>
            </w:r>
          </w:p>
        </w:tc>
      </w:tr>
      <w:tr>
        <w:trPr>
          <w:trHeight w:val="283" w:hRule="atLeast"/>
        </w:trPr>
        <w:tc>
          <w:tcPr>
            <w:tcW w:w="3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Участник 2742 ООО "ФИРМА СЕРВИСИНЖИНИРИНГ"</w:t>
              <w:br/>
              <w:t>ИНН 7727626308</w:t>
            </w:r>
          </w:p>
        </w:tc>
        <w:tc>
          <w:tcPr>
            <w:tcW w:w="23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Отклонение</w:t>
            </w:r>
          </w:p>
        </w:tc>
        <w:tc>
          <w:tcPr>
            <w:tcW w:w="78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У участника  (также у субподрядчика) отсутствует лицензия ФСТЭК на деятельность по технической защите конфиденциальной информации, что не соответствует обязательным  квалификационным требованиям  Документации по  п. 1.4.1.15. </w:t>
              <w:br/>
              <w:t>Участник не предоставил в полном объеме документы на субподрядчика согласно требованиям п.1.4 Документации.</w:t>
              <w:br/>
            </w:r>
            <w:r>
              <w:rPr>
                <w:b/>
                <w:bCs/>
                <w:sz w:val="22"/>
                <w:szCs w:val="22"/>
              </w:rPr>
              <w:t>Заявка отклонена на основании п. 2.7.6. Документации об открытом конкурентном отборе.</w:t>
            </w:r>
          </w:p>
        </w:tc>
      </w:tr>
      <w:tr>
        <w:trPr>
          <w:trHeight w:val="283" w:hRule="atLeast"/>
        </w:trPr>
        <w:tc>
          <w:tcPr>
            <w:tcW w:w="3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Участник 1506  ООО "СИБ МИР"  ИНН 5404213959</w:t>
            </w:r>
          </w:p>
        </w:tc>
        <w:tc>
          <w:tcPr>
            <w:tcW w:w="23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80 070 707,20</w:t>
            </w:r>
          </w:p>
        </w:tc>
        <w:tc>
          <w:tcPr>
            <w:tcW w:w="16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Допуск</w:t>
            </w:r>
          </w:p>
        </w:tc>
        <w:tc>
          <w:tcPr>
            <w:tcW w:w="78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Снижение на  0,00%</w:t>
            </w:r>
          </w:p>
        </w:tc>
      </w:tr>
      <w:tr>
        <w:trPr>
          <w:trHeight w:val="283" w:hRule="atLeast"/>
        </w:trPr>
        <w:tc>
          <w:tcPr>
            <w:tcW w:w="3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</w:r>
          </w:p>
        </w:tc>
        <w:tc>
          <w:tcPr>
            <w:tcW w:w="23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W w:w="951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Баллы участников</w:t>
            </w:r>
          </w:p>
        </w:tc>
      </w:tr>
      <w:tr>
        <w:trPr>
          <w:trHeight w:val="283" w:hRule="atLeast"/>
        </w:trPr>
        <w:tc>
          <w:tcPr>
            <w:tcW w:w="3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Наименование критерия</w:t>
            </w:r>
          </w:p>
        </w:tc>
        <w:tc>
          <w:tcPr>
            <w:tcW w:w="23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Коэффициент значимости показателя критерия</w:t>
            </w:r>
          </w:p>
        </w:tc>
        <w:tc>
          <w:tcPr>
            <w:tcW w:w="951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Участник 1506  ООО "СИБ МИР"  ИНН 5404213959</w:t>
            </w:r>
          </w:p>
        </w:tc>
      </w:tr>
      <w:tr>
        <w:trPr>
          <w:trHeight w:val="283" w:hRule="atLeast"/>
        </w:trPr>
        <w:tc>
          <w:tcPr>
            <w:tcW w:w="3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Ранжирование предложений</w:t>
            </w:r>
          </w:p>
        </w:tc>
        <w:tc>
          <w:tcPr>
            <w:tcW w:w="23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 </w:t>
            </w:r>
          </w:p>
        </w:tc>
        <w:tc>
          <w:tcPr>
            <w:tcW w:w="951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1</w:t>
            </w:r>
          </w:p>
        </w:tc>
      </w:tr>
      <w:tr>
        <w:trPr>
          <w:trHeight w:val="283" w:hRule="atLeast"/>
        </w:trPr>
        <w:tc>
          <w:tcPr>
            <w:tcW w:w="3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Предлагается признать победителем:</w:t>
            </w:r>
          </w:p>
        </w:tc>
        <w:tc>
          <w:tcPr>
            <w:tcW w:w="11894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Участник 1506  ООО "СИБ МИР"  ИНН 5404213959</w:t>
            </w:r>
          </w:p>
        </w:tc>
      </w:tr>
    </w:tbl>
    <w:p>
      <w:pPr>
        <w:pStyle w:val="Normal"/>
        <w:widowControl w:val="false"/>
        <w:spacing w:before="120" w:after="120"/>
        <w:rPr>
          <w:b/>
          <w:sz w:val="20"/>
          <w:szCs w:val="20"/>
        </w:rPr>
      </w:pPr>
      <w:r>
        <w:rPr>
          <w:b/>
          <w:sz w:val="20"/>
          <w:szCs w:val="20"/>
        </w:rPr>
      </w:r>
    </w:p>
    <w:sectPr>
      <w:footerReference w:type="default" r:id="rId4"/>
      <w:footerReference w:type="first" r:id="rId5"/>
      <w:type w:val="nextPage"/>
      <w:pgSz w:orient="landscape" w:w="16838" w:h="11906"/>
      <w:pgMar w:left="1134" w:right="678" w:gutter="0" w:header="0" w:top="709" w:footer="709" w:bottom="765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ourier New">
    <w:charset w:val="cc" w:characterSet="windows-1251"/>
    <w:family w:val="modern"/>
    <w:pitch w:val="default"/>
  </w:font>
  <w:font w:name="Wingdings">
    <w:charset w:val="02"/>
    <w:family w:val="auto"/>
    <w:pitch w:val="variable"/>
  </w:font>
  <w:font w:name="Liberation Sans">
    <w:altName w:val="Arial"/>
    <w:charset w:val="01" w:characterSet="utf-8"/>
    <w:family w:val="swiss"/>
    <w:pitch w:val="variable"/>
  </w:font>
  <w:font w:name="Verdana">
    <w:charset w:val="cc" w:characterSet="windows-1251"/>
    <w:family w:val="swiss"/>
    <w:pitch w:val="variable"/>
  </w:font>
  <w:font w:name="Tahoma">
    <w:charset w:val="cc" w:characterSet="windows-1251"/>
    <w:family w:val="swiss"/>
    <w:pitch w:val="variable"/>
  </w:font>
  <w:font w:name="Arial">
    <w:charset w:val="cc" w:characterSet="windows-125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t xml:space="preserve"> 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t xml:space="preserve"> 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t xml:space="preserve"> </w: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t xml:space="preserve"> 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360" w:hanging="360"/>
      </w:pPr>
    </w:lvl>
    <w:lvl w:ilvl="1">
      <w:start w:val="1"/>
      <w:numFmt w:val="decimal"/>
      <w:lvlText w:val="%1.%2."/>
      <w:lvlJc w:val="start"/>
      <w:pPr>
        <w:tabs>
          <w:tab w:val="num" w:pos="0"/>
        </w:tabs>
        <w:ind w:start="792" w:hanging="432"/>
      </w:pPr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1224" w:hanging="504"/>
      </w:pPr>
    </w:lvl>
    <w:lvl w:ilvl="3">
      <w:start w:val="1"/>
      <w:numFmt w:val="decimal"/>
      <w:lvlText w:val="%1.%2.%3.%4."/>
      <w:lvlJc w:val="start"/>
      <w:pPr>
        <w:tabs>
          <w:tab w:val="num" w:pos="0"/>
        </w:tabs>
        <w:ind w:start="1728" w:hanging="648"/>
      </w:pPr>
    </w:lvl>
    <w:lvl w:ilvl="4">
      <w:start w:val="1"/>
      <w:numFmt w:val="decimal"/>
      <w:lvlText w:val="%1.%2.%3.%4.%5."/>
      <w:lvlJc w:val="start"/>
      <w:pPr>
        <w:tabs>
          <w:tab w:val="num" w:pos="0"/>
        </w:tabs>
        <w:ind w:start="2232" w:hanging="792"/>
      </w:pPr>
    </w:lvl>
    <w:lvl w:ilvl="5">
      <w:start w:val="1"/>
      <w:numFmt w:val="decimal"/>
      <w:lvlText w:val="%1.%2.%3.%4.%5.%6."/>
      <w:lvlJc w:val="start"/>
      <w:pPr>
        <w:tabs>
          <w:tab w:val="num" w:pos="0"/>
        </w:tabs>
        <w:ind w:start="2736" w:hanging="936"/>
      </w:pPr>
    </w:lvl>
    <w:lvl w:ilvl="6">
      <w:start w:val="1"/>
      <w:numFmt w:val="decimal"/>
      <w:lvlText w:val="%1.%2.%3.%4.%5.%6.%7."/>
      <w:lvlJc w:val="start"/>
      <w:pPr>
        <w:tabs>
          <w:tab w:val="num" w:pos="0"/>
        </w:tabs>
        <w:ind w:start="3240" w:hanging="1080"/>
      </w:pPr>
    </w:lvl>
    <w:lvl w:ilvl="7">
      <w:start w:val="1"/>
      <w:numFmt w:val="decimal"/>
      <w:lvlText w:val="%1.%2.%3.%4.%5.%6.%7.%8."/>
      <w:lvlJc w:val="start"/>
      <w:pPr>
        <w:tabs>
          <w:tab w:val="num" w:pos="0"/>
        </w:tabs>
        <w:ind w:start="3744" w:hanging="1224"/>
      </w:pPr>
    </w:lvl>
    <w:lvl w:ilvl="8">
      <w:start w:val="1"/>
      <w:numFmt w:val="decimal"/>
      <w:lvlText w:val="%1.%2.%3.%4.%5.%6.%7.%8.%9."/>
      <w:lvlJc w:val="start"/>
      <w:pPr>
        <w:tabs>
          <w:tab w:val="num" w:pos="0"/>
        </w:tabs>
        <w:ind w:start="4320" w:hanging="1440"/>
      </w:p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360" w:hanging="360"/>
      </w:pPr>
      <w:rPr>
        <w:i w:val="false"/>
      </w:rPr>
    </w:lvl>
    <w:lvl w:ilvl="1">
      <w:start w:val="1"/>
      <w:numFmt w:val="decimal"/>
      <w:lvlText w:val="%1.%2."/>
      <w:lvlJc w:val="start"/>
      <w:pPr>
        <w:tabs>
          <w:tab w:val="num" w:pos="0"/>
        </w:tabs>
        <w:ind w:start="792" w:hanging="432"/>
      </w:pPr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1224" w:hanging="504"/>
      </w:pPr>
    </w:lvl>
    <w:lvl w:ilvl="3">
      <w:start w:val="1"/>
      <w:numFmt w:val="decimal"/>
      <w:lvlText w:val="%1.%2.%3.%4."/>
      <w:lvlJc w:val="start"/>
      <w:pPr>
        <w:tabs>
          <w:tab w:val="num" w:pos="0"/>
        </w:tabs>
        <w:ind w:start="1728" w:hanging="648"/>
      </w:pPr>
    </w:lvl>
    <w:lvl w:ilvl="4">
      <w:start w:val="1"/>
      <w:numFmt w:val="decimal"/>
      <w:lvlText w:val="%1.%2.%3.%4.%5."/>
      <w:lvlJc w:val="start"/>
      <w:pPr>
        <w:tabs>
          <w:tab w:val="num" w:pos="0"/>
        </w:tabs>
        <w:ind w:start="2232" w:hanging="792"/>
      </w:pPr>
    </w:lvl>
    <w:lvl w:ilvl="5">
      <w:start w:val="1"/>
      <w:numFmt w:val="decimal"/>
      <w:lvlText w:val="%1.%2.%3.%4.%5.%6."/>
      <w:lvlJc w:val="start"/>
      <w:pPr>
        <w:tabs>
          <w:tab w:val="num" w:pos="0"/>
        </w:tabs>
        <w:ind w:start="2736" w:hanging="936"/>
      </w:pPr>
    </w:lvl>
    <w:lvl w:ilvl="6">
      <w:start w:val="1"/>
      <w:numFmt w:val="decimal"/>
      <w:lvlText w:val="%1.%2.%3.%4.%5.%6.%7."/>
      <w:lvlJc w:val="start"/>
      <w:pPr>
        <w:tabs>
          <w:tab w:val="num" w:pos="0"/>
        </w:tabs>
        <w:ind w:start="3240" w:hanging="1080"/>
      </w:pPr>
    </w:lvl>
    <w:lvl w:ilvl="7">
      <w:start w:val="1"/>
      <w:numFmt w:val="decimal"/>
      <w:lvlText w:val="%1.%2.%3.%4.%5.%6.%7.%8."/>
      <w:lvlJc w:val="start"/>
      <w:pPr>
        <w:tabs>
          <w:tab w:val="num" w:pos="0"/>
        </w:tabs>
        <w:ind w:start="3744" w:hanging="1224"/>
      </w:pPr>
    </w:lvl>
    <w:lvl w:ilvl="8">
      <w:start w:val="1"/>
      <w:numFmt w:val="decimal"/>
      <w:lvlText w:val="%1.%2.%3.%4.%5.%6.%7.%8.%9."/>
      <w:lvlJc w:val="start"/>
      <w:pPr>
        <w:tabs>
          <w:tab w:val="num" w:pos="0"/>
        </w:tabs>
        <w:ind w:start="4320" w:hanging="144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1134"/>
        </w:tabs>
        <w:ind w:start="0" w:firstLine="567"/>
      </w:pPr>
      <w:rPr/>
    </w:lvl>
    <w:lvl w:ilvl="1">
      <w:start w:val="1"/>
      <w:numFmt w:val="decimal"/>
      <w:lvlText w:val="%1.%2."/>
      <w:lvlJc w:val="start"/>
      <w:pPr>
        <w:tabs>
          <w:tab w:val="num" w:pos="708"/>
        </w:tabs>
        <w:ind w:start="2126" w:hanging="708"/>
      </w:pPr>
      <w:rPr/>
    </w:lvl>
    <w:lvl w:ilvl="2">
      <w:start w:val="1"/>
      <w:numFmt w:val="decimal"/>
      <w:lvlText w:val="%1.%2.%3."/>
      <w:lvlJc w:val="start"/>
      <w:pPr>
        <w:tabs>
          <w:tab w:val="num" w:pos="2835"/>
        </w:tabs>
        <w:ind w:start="2835" w:hanging="708"/>
      </w:pPr>
      <w:rPr/>
    </w:lvl>
    <w:lvl w:ilvl="3">
      <w:start w:val="1"/>
      <w:numFmt w:val="decimal"/>
      <w:lvlText w:val="%1.%2.%3.%4."/>
      <w:lvlJc w:val="start"/>
      <w:pPr>
        <w:tabs>
          <w:tab w:val="num" w:pos="708"/>
        </w:tabs>
        <w:ind w:start="3540" w:hanging="708"/>
      </w:pPr>
      <w:rPr/>
    </w:lvl>
    <w:lvl w:ilvl="4">
      <w:start w:val="1"/>
      <w:numFmt w:val="decimal"/>
      <w:lvlText w:val="%1.%2.%3.%4.%5."/>
      <w:lvlJc w:val="start"/>
      <w:pPr>
        <w:tabs>
          <w:tab w:val="num" w:pos="708"/>
        </w:tabs>
        <w:ind w:start="4248" w:hanging="708"/>
      </w:pPr>
      <w:rPr/>
    </w:lvl>
    <w:lvl w:ilvl="5">
      <w:start w:val="0"/>
      <w:numFmt w:val="none"/>
      <w:suff w:val="nothing"/>
      <w:lvlText w:val=""/>
      <w:lvlJc w:val="start"/>
      <w:pPr>
        <w:tabs>
          <w:tab w:val="num" w:pos="360"/>
        </w:tabs>
        <w:ind w:start="0" w:hanging="0"/>
      </w:pPr>
    </w:lvl>
    <w:lvl w:ilvl="6">
      <w:start w:val="1"/>
      <w:numFmt w:val="decimal"/>
      <w:lvlText w:val="%1.%2.%3.%4.%5.%6%7."/>
      <w:lvlJc w:val="start"/>
      <w:pPr>
        <w:tabs>
          <w:tab w:val="num" w:pos="708"/>
        </w:tabs>
        <w:ind w:start="5664" w:hanging="708"/>
      </w:pPr>
      <w:rPr/>
    </w:lvl>
    <w:lvl w:ilvl="7">
      <w:start w:val="1"/>
      <w:numFmt w:val="decimal"/>
      <w:lvlText w:val="%1.%2.%3.%4.%5.%6%7.%8."/>
      <w:lvlJc w:val="start"/>
      <w:pPr>
        <w:tabs>
          <w:tab w:val="num" w:pos="708"/>
        </w:tabs>
        <w:ind w:start="6372" w:hanging="708"/>
      </w:pPr>
      <w:rPr/>
    </w:lvl>
    <w:lvl w:ilvl="8">
      <w:start w:val="1"/>
      <w:numFmt w:val="decimal"/>
      <w:lvlText w:val="%1.%2.%3.%4.%5.%6%7.%8.%9."/>
      <w:lvlJc w:val="start"/>
      <w:pPr>
        <w:tabs>
          <w:tab w:val="num" w:pos="708"/>
        </w:tabs>
        <w:ind w:start="7080" w:hanging="708"/>
      </w:pPr>
      <w:rPr/>
    </w:lvl>
  </w:abstractNum>
  <w:abstractNum w:abstractNumId="5">
    <w:lvl w:ilvl="0">
      <w:start w:val="1"/>
      <w:numFmt w:val="bullet"/>
      <w:lvlText w:val="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  <w:sz w:val="16"/>
        <w:i w:val="false"/>
        <w:b w:val="false"/>
        <w:color w:val="000000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20"/>
  <w:defaultTabStop w:val="708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both"/>
      <w:outlineLvl w:val="0"/>
    </w:pPr>
    <w:rPr>
      <w:sz w:val="28"/>
      <w:szCs w:val="28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tabs>
        <w:tab w:val="clear" w:pos="708"/>
        <w:tab w:val="left" w:pos="1134" w:leader="none"/>
      </w:tabs>
      <w:suppressAutoHyphens w:val="true"/>
      <w:spacing w:before="360" w:after="120"/>
      <w:ind w:hanging="1134" w:start="1134" w:end="0"/>
      <w:outlineLvl w:val="1"/>
    </w:pPr>
    <w:rPr>
      <w:b/>
      <w:sz w:val="32"/>
      <w:szCs w:val="20"/>
      <w:lang w:val="en-US"/>
    </w:rPr>
  </w:style>
  <w:style w:type="character" w:styleId="WW8Num2z0">
    <w:name w:val="WW8Num2z0"/>
    <w:qFormat/>
    <w:rPr>
      <w:rFonts w:ascii="Symbol" w:hAnsi="Symbol" w:cs="Symbol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3z0">
    <w:name w:val="WW8Num3z0"/>
    <w:qFormat/>
    <w:rPr>
      <w:sz w:val="20"/>
      <w:szCs w:val="20"/>
    </w:rPr>
  </w:style>
  <w:style w:type="character" w:styleId="WW8Num5z0">
    <w:name w:val="WW8Num5z0"/>
    <w:qFormat/>
    <w:rPr/>
  </w:style>
  <w:style w:type="character" w:styleId="WW8Num6z0">
    <w:name w:val="WW8Num6z0"/>
    <w:qFormat/>
    <w:rPr>
      <w:i w:val="false"/>
    </w:rPr>
  </w:style>
  <w:style w:type="character" w:styleId="WW8Num7z0">
    <w:name w:val="WW8Num7z0"/>
    <w:qFormat/>
    <w:rPr/>
  </w:style>
  <w:style w:type="character" w:styleId="WW8Num8z0">
    <w:name w:val="WW8Num8z0"/>
    <w:qFormat/>
    <w:rPr>
      <w:rFonts w:ascii="Symbol" w:hAnsi="Symbol" w:cs="Symbol"/>
    </w:rPr>
  </w:style>
  <w:style w:type="character" w:styleId="WW8Num8z1">
    <w:name w:val="WW8Num8z1"/>
    <w:qFormat/>
    <w:rPr>
      <w:rFonts w:ascii="Courier New" w:hAnsi="Courier New" w:cs="Courier New"/>
    </w:rPr>
  </w:style>
  <w:style w:type="character" w:styleId="WW8Num8z2">
    <w:name w:val="WW8Num8z2"/>
    <w:qFormat/>
    <w:rPr>
      <w:rFonts w:ascii="Wingdings" w:hAnsi="Wingdings" w:cs="Wingdings"/>
    </w:rPr>
  </w:style>
  <w:style w:type="character" w:styleId="WW8Num9z0">
    <w:name w:val="WW8Num9z0"/>
    <w:qFormat/>
    <w:rPr>
      <w:rFonts w:ascii="Symbol" w:hAnsi="Symbol" w:cs="Symbol"/>
      <w:color w:val="000000"/>
    </w:rPr>
  </w:style>
  <w:style w:type="character" w:styleId="WW8Num11z0">
    <w:name w:val="WW8Num11z0"/>
    <w:qFormat/>
    <w:rPr/>
  </w:style>
  <w:style w:type="character" w:styleId="WW8Num12z0">
    <w:name w:val="WW8Num12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15z0">
    <w:name w:val="WW8Num15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16z0">
    <w:name w:val="WW8Num16z0"/>
    <w:qFormat/>
    <w:rPr/>
  </w:style>
  <w:style w:type="character" w:styleId="WW8Num17z0">
    <w:name w:val="WW8Num17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18z0">
    <w:name w:val="WW8Num18z0"/>
    <w:qFormat/>
    <w:rPr>
      <w:sz w:val="24"/>
      <w:szCs w:val="24"/>
    </w:rPr>
  </w:style>
  <w:style w:type="character" w:styleId="WW8Num18z1">
    <w:name w:val="WW8Num18z1"/>
    <w:qFormat/>
    <w:rPr>
      <w:rFonts w:ascii="Symbol" w:hAnsi="Symbol" w:cs="Symbol"/>
      <w:b w:val="false"/>
      <w:i w:val="false"/>
      <w:color w:val="000000"/>
      <w:sz w:val="24"/>
    </w:rPr>
  </w:style>
  <w:style w:type="character" w:styleId="WW8Num19z0">
    <w:name w:val="WW8Num19z0"/>
    <w:qFormat/>
    <w:rPr/>
  </w:style>
  <w:style w:type="character" w:styleId="WW8Num19z1">
    <w:name w:val="WW8Num19z1"/>
    <w:qFormat/>
    <w:rPr>
      <w:b/>
      <w:sz w:val="26"/>
      <w:szCs w:val="26"/>
    </w:rPr>
  </w:style>
  <w:style w:type="character" w:styleId="WW8Num19z2">
    <w:name w:val="WW8Num19z2"/>
    <w:qFormat/>
    <w:rPr>
      <w:b w:val="false"/>
      <w:i w:val="false"/>
    </w:rPr>
  </w:style>
  <w:style w:type="character" w:styleId="WW8Num20z0">
    <w:name w:val="WW8Num20z0"/>
    <w:qFormat/>
    <w:rPr>
      <w:rFonts w:ascii="Symbol" w:hAnsi="Symbol" w:cs="Symbol"/>
      <w:b w:val="false"/>
      <w:i w:val="false"/>
      <w:color w:val="000000"/>
      <w:sz w:val="24"/>
    </w:rPr>
  </w:style>
  <w:style w:type="character" w:styleId="WW8Num20z1">
    <w:name w:val="WW8Num20z1"/>
    <w:qFormat/>
    <w:rPr>
      <w:rFonts w:ascii="Courier New" w:hAnsi="Courier New" w:cs="Courier New"/>
    </w:rPr>
  </w:style>
  <w:style w:type="character" w:styleId="WW8Num20z2">
    <w:name w:val="WW8Num20z2"/>
    <w:qFormat/>
    <w:rPr>
      <w:rFonts w:ascii="Wingdings" w:hAnsi="Wingdings" w:cs="Wingdings"/>
    </w:rPr>
  </w:style>
  <w:style w:type="character" w:styleId="WW8Num20z3">
    <w:name w:val="WW8Num20z3"/>
    <w:qFormat/>
    <w:rPr>
      <w:rFonts w:ascii="Symbol" w:hAnsi="Symbol" w:cs="Symbol"/>
    </w:rPr>
  </w:style>
  <w:style w:type="character" w:styleId="WW8Num21z0">
    <w:name w:val="WW8Num21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22z0">
    <w:name w:val="WW8Num22z0"/>
    <w:qFormat/>
    <w:rPr>
      <w:sz w:val="20"/>
      <w:szCs w:val="20"/>
    </w:rPr>
  </w:style>
  <w:style w:type="character" w:styleId="WW8Num23z0">
    <w:name w:val="WW8Num23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24z0">
    <w:name w:val="WW8Num24z0"/>
    <w:qFormat/>
    <w:rPr/>
  </w:style>
  <w:style w:type="character" w:styleId="WW8Num26z0">
    <w:name w:val="WW8Num26z0"/>
    <w:qFormat/>
    <w:rPr>
      <w:sz w:val="24"/>
      <w:szCs w:val="24"/>
    </w:rPr>
  </w:style>
  <w:style w:type="character" w:styleId="WW8Num26z1">
    <w:name w:val="WW8Num26z1"/>
    <w:qFormat/>
    <w:rPr>
      <w:rFonts w:ascii="Symbol" w:hAnsi="Symbol" w:cs="Symbol"/>
      <w:b w:val="false"/>
      <w:i w:val="false"/>
      <w:sz w:val="24"/>
    </w:rPr>
  </w:style>
  <w:style w:type="character" w:styleId="WW8Num27z0">
    <w:name w:val="WW8Num27z0"/>
    <w:qFormat/>
    <w:rPr>
      <w:sz w:val="20"/>
      <w:szCs w:val="20"/>
    </w:rPr>
  </w:style>
  <w:style w:type="character" w:styleId="WW8Num29z0">
    <w:name w:val="WW8Num29z0"/>
    <w:qFormat/>
    <w:rPr/>
  </w:style>
  <w:style w:type="character" w:styleId="WW8Num29z1">
    <w:name w:val="WW8Num29z1"/>
    <w:qFormat/>
    <w:rPr>
      <w:color w:val="000000"/>
    </w:rPr>
  </w:style>
  <w:style w:type="character" w:styleId="WW8Num30z0">
    <w:name w:val="WW8Num30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31z0">
    <w:name w:val="WW8Num31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32z1">
    <w:name w:val="WW8Num32z1"/>
    <w:qFormat/>
    <w:rPr>
      <w:rFonts w:ascii="Symbol" w:hAnsi="Symbol" w:cs="Symbol"/>
      <w:b w:val="false"/>
      <w:i w:val="false"/>
      <w:color w:val="000000"/>
      <w:sz w:val="16"/>
    </w:rPr>
  </w:style>
  <w:style w:type="character" w:styleId="WW8Num33z0">
    <w:name w:val="WW8Num33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8"/>
      <w:sz w:val="28"/>
      <w:szCs w:val="28"/>
      <w:vertAlign w:val="baseline"/>
    </w:rPr>
  </w:style>
  <w:style w:type="character" w:styleId="WW8Num33z1">
    <w:name w:val="WW8Num33z1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8"/>
      <w:vertAlign w:val="baseline"/>
    </w:rPr>
  </w:style>
  <w:style w:type="character" w:styleId="WW8Num34z0">
    <w:name w:val="WW8Num34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35z0">
    <w:name w:val="WW8Num35z0"/>
    <w:qFormat/>
    <w:rPr>
      <w:rFonts w:ascii="Symbol" w:hAnsi="Symbol" w:cs="Symbol"/>
      <w:b w:val="false"/>
      <w:i w:val="false"/>
      <w:color w:val="000000"/>
      <w:sz w:val="16"/>
    </w:rPr>
  </w:style>
  <w:style w:type="character" w:styleId="WW8Num35z1">
    <w:name w:val="WW8Num35z1"/>
    <w:qFormat/>
    <w:rPr>
      <w:rFonts w:ascii="Courier New" w:hAnsi="Courier New" w:cs="Courier New"/>
    </w:rPr>
  </w:style>
  <w:style w:type="character" w:styleId="WW8Num35z2">
    <w:name w:val="WW8Num35z2"/>
    <w:qFormat/>
    <w:rPr>
      <w:rFonts w:ascii="Wingdings" w:hAnsi="Wingdings" w:cs="Wingdings"/>
    </w:rPr>
  </w:style>
  <w:style w:type="character" w:styleId="WW8Num35z3">
    <w:name w:val="WW8Num35z3"/>
    <w:qFormat/>
    <w:rPr>
      <w:rFonts w:ascii="Symbol" w:hAnsi="Symbol" w:cs="Symbol"/>
    </w:rPr>
  </w:style>
  <w:style w:type="character" w:styleId="Style12">
    <w:name w:val="Основной шрифт абзаца"/>
    <w:qFormat/>
    <w:rPr/>
  </w:style>
  <w:style w:type="character" w:styleId="PageNumber">
    <w:name w:val="page number"/>
    <w:basedOn w:val="Style12"/>
    <w:rPr/>
  </w:style>
  <w:style w:type="character" w:styleId="Style13">
    <w:name w:val="комментарий"/>
    <w:qFormat/>
    <w:rPr>
      <w:b/>
      <w:i/>
      <w:shd w:fill="FFFF99" w:val="clear"/>
    </w:rPr>
  </w:style>
  <w:style w:type="character" w:styleId="Style14">
    <w:name w:val="Комментраий Знак"/>
    <w:qFormat/>
    <w:rPr>
      <w:i/>
      <w:color w:val="3366FF"/>
      <w:sz w:val="28"/>
      <w:szCs w:val="28"/>
      <w:lang w:val="ru-RU" w:bidi="ar-SA"/>
    </w:rPr>
  </w:style>
  <w:style w:type="character" w:styleId="Style15">
    <w:name w:val="Нижний колонтитул Знак"/>
    <w:qFormat/>
    <w:rPr>
      <w:sz w:val="24"/>
      <w:szCs w:val="24"/>
    </w:rPr>
  </w:style>
  <w:style w:type="character" w:styleId="Style16">
    <w:name w:val="Подподпункт Знак"/>
    <w:qFormat/>
    <w:rPr>
      <w:sz w:val="28"/>
    </w:rPr>
  </w:style>
  <w:style w:type="character" w:styleId="FontStyle128">
    <w:name w:val="Font Style128"/>
    <w:qFormat/>
    <w:rPr>
      <w:rFonts w:ascii="Times New Roman" w:hAnsi="Times New Roman" w:cs="Times New Roman"/>
      <w:color w:val="000000"/>
      <w:sz w:val="26"/>
      <w:szCs w:val="26"/>
    </w:rPr>
  </w:style>
  <w:style w:type="character" w:styleId="2">
    <w:name w:val="Заголовок 2 Знак"/>
    <w:qFormat/>
    <w:rPr>
      <w:b/>
      <w:sz w:val="32"/>
    </w:rPr>
  </w:style>
  <w:style w:type="character" w:styleId="Style17">
    <w:name w:val="Основной текст с отступом Знак"/>
    <w:qFormat/>
    <w:rPr>
      <w:sz w:val="24"/>
      <w:szCs w:val="24"/>
    </w:rPr>
  </w:style>
  <w:style w:type="character" w:styleId="Style18">
    <w:name w:val="Основной текст Знак"/>
    <w:qFormat/>
    <w:rPr>
      <w:sz w:val="24"/>
      <w:szCs w:val="24"/>
    </w:rPr>
  </w:style>
  <w:style w:type="character" w:styleId="Style19">
    <w:name w:val="Знак примечания"/>
    <w:qFormat/>
    <w:rPr>
      <w:sz w:val="16"/>
      <w:szCs w:val="16"/>
    </w:rPr>
  </w:style>
  <w:style w:type="character" w:styleId="Style20">
    <w:name w:val="Текст примечания Знак"/>
    <w:basedOn w:val="Style12"/>
    <w:qFormat/>
    <w:rPr/>
  </w:style>
  <w:style w:type="character" w:styleId="Style21">
    <w:name w:val="Тема примечания Знак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before="0" w:after="120"/>
    </w:pPr>
    <w:rPr>
      <w:lang w:val="en-US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DefaultParagraphFontParaCharChar">
    <w:name w:val="Default Paragraph Font Para Char Char Знак"/>
    <w:basedOn w:val="Normal"/>
    <w:qFormat/>
    <w:pPr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Style22">
    <w:name w:val="Таблица шапка"/>
    <w:basedOn w:val="Normal"/>
    <w:qFormat/>
    <w:pPr>
      <w:keepNext w:val="true"/>
      <w:spacing w:before="40" w:after="40"/>
      <w:ind w:hanging="0" w:start="57" w:end="57"/>
    </w:pPr>
    <w:rPr>
      <w:sz w:val="22"/>
      <w:szCs w:val="20"/>
    </w:rPr>
  </w:style>
  <w:style w:type="paragraph" w:styleId="Style23">
    <w:name w:val="Таблица текст"/>
    <w:basedOn w:val="Normal"/>
    <w:qFormat/>
    <w:pPr>
      <w:spacing w:before="40" w:after="40"/>
      <w:ind w:hanging="0" w:start="57" w:end="57"/>
    </w:pPr>
    <w:rPr>
      <w:szCs w:val="20"/>
    </w:rPr>
  </w:style>
  <w:style w:type="paragraph" w:styleId="Style24">
    <w:name w:val="Схема документа"/>
    <w:basedOn w:val="Normal"/>
    <w:qFormat/>
    <w:pPr>
      <w:shd w:fill="000080" w:val="clear"/>
    </w:pPr>
    <w:rPr>
      <w:rFonts w:ascii="Tahoma" w:hAnsi="Tahoma" w:cs="Tahoma"/>
      <w:sz w:val="20"/>
      <w:szCs w:val="20"/>
    </w:rPr>
  </w:style>
  <w:style w:type="paragraph" w:styleId="Style25">
    <w:name w:val="Текст выноски"/>
    <w:basedOn w:val="Normal"/>
    <w:qFormat/>
    <w:pPr/>
    <w:rPr>
      <w:rFonts w:ascii="Tahoma" w:hAnsi="Tahoma" w:cs="Tahoma"/>
      <w:sz w:val="16"/>
      <w:szCs w:val="16"/>
    </w:rPr>
  </w:style>
  <w:style w:type="paragraph" w:styleId="Footer">
    <w:name w:val="footer"/>
    <w:basedOn w:val="Normal"/>
    <w:pPr>
      <w:tabs>
        <w:tab w:val="clear" w:pos="708"/>
        <w:tab w:val="center" w:pos="4677" w:leader="none"/>
        <w:tab w:val="right" w:pos="9355" w:leader="none"/>
      </w:tabs>
    </w:pPr>
    <w:rPr>
      <w:lang w:val="en-US"/>
    </w:rPr>
  </w:style>
  <w:style w:type="paragraph" w:styleId="Style26">
    <w:name w:val="Обычный (веб)"/>
    <w:basedOn w:val="Normal"/>
    <w:qFormat/>
    <w:pPr>
      <w:spacing w:before="280" w:after="280"/>
    </w:pPr>
    <w:rPr>
      <w:rFonts w:ascii="Arial" w:hAnsi="Arial" w:cs="Arial"/>
      <w:color w:val="283555"/>
      <w:sz w:val="20"/>
      <w:szCs w:val="20"/>
    </w:rPr>
  </w:style>
  <w:style w:type="paragraph" w:styleId="Style27">
    <w:name w:val="Подподпункт"/>
    <w:basedOn w:val="Normal"/>
    <w:qFormat/>
    <w:pPr>
      <w:numPr>
        <w:ilvl w:val="0"/>
        <w:numId w:val="4"/>
      </w:numPr>
      <w:tabs>
        <w:tab w:val="clear" w:pos="708"/>
        <w:tab w:val="left" w:pos="927" w:leader="none"/>
      </w:tabs>
      <w:spacing w:lineRule="auto" w:line="360"/>
      <w:ind w:hanging="360" w:start="927" w:end="0"/>
      <w:jc w:val="both"/>
    </w:pPr>
    <w:rPr>
      <w:sz w:val="28"/>
      <w:szCs w:val="20"/>
      <w:lang w:val="en-US"/>
    </w:rPr>
  </w:style>
  <w:style w:type="paragraph" w:styleId="Style28">
    <w:name w:val="Абзац списка"/>
    <w:basedOn w:val="Normal"/>
    <w:qFormat/>
    <w:pPr>
      <w:widowControl w:val="false"/>
      <w:autoSpaceDE w:val="false"/>
      <w:spacing w:before="0" w:after="0"/>
      <w:ind w:hanging="0" w:start="720" w:end="0"/>
      <w:contextualSpacing/>
    </w:pPr>
    <w:rPr/>
  </w:style>
  <w:style w:type="paragraph" w:styleId="Style29">
    <w:name w:val="Пункт"/>
    <w:basedOn w:val="Normal"/>
    <w:qFormat/>
    <w:pPr>
      <w:tabs>
        <w:tab w:val="clear" w:pos="708"/>
        <w:tab w:val="left" w:pos="1134" w:leader="none"/>
      </w:tabs>
      <w:spacing w:lineRule="auto" w:line="360"/>
      <w:ind w:hanging="1134" w:start="1134" w:end="0"/>
      <w:jc w:val="both"/>
    </w:pPr>
    <w:rPr>
      <w:sz w:val="28"/>
      <w:szCs w:val="20"/>
    </w:rPr>
  </w:style>
  <w:style w:type="paragraph" w:styleId="BodyTextIndent">
    <w:name w:val="Body Text Indent"/>
    <w:basedOn w:val="Normal"/>
    <w:pPr>
      <w:ind w:hanging="0" w:start="-720" w:end="0"/>
      <w:jc w:val="both"/>
    </w:pPr>
    <w:rPr>
      <w:lang w:val="en-US"/>
    </w:rPr>
  </w:style>
  <w:style w:type="paragraph" w:styleId="Style30">
    <w:name w:val="Нумерованный список"/>
    <w:basedOn w:val="BodyText"/>
    <w:qFormat/>
    <w:pPr>
      <w:tabs>
        <w:tab w:val="clear" w:pos="708"/>
        <w:tab w:val="left" w:pos="360" w:leader="none"/>
      </w:tabs>
      <w:autoSpaceDE w:val="false"/>
      <w:spacing w:lineRule="auto" w:line="360" w:before="60" w:after="0"/>
      <w:jc w:val="both"/>
    </w:pPr>
    <w:rPr>
      <w:sz w:val="28"/>
    </w:rPr>
  </w:style>
  <w:style w:type="paragraph" w:styleId="Style31">
    <w:name w:val="Текст примечания"/>
    <w:basedOn w:val="Normal"/>
    <w:qFormat/>
    <w:pPr/>
    <w:rPr>
      <w:sz w:val="20"/>
      <w:szCs w:val="20"/>
    </w:rPr>
  </w:style>
  <w:style w:type="paragraph" w:styleId="Style32">
    <w:name w:val="Тема примечания"/>
    <w:basedOn w:val="Style31"/>
    <w:next w:val="Style31"/>
    <w:qFormat/>
    <w:pPr/>
    <w:rPr>
      <w:b/>
      <w:bCs/>
      <w:lang w:val="en-U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  <w:style w:type="numbering" w:styleId="WW8Num31">
    <w:name w:val="WW8Num31"/>
    <w:qFormat/>
  </w:style>
  <w:style w:type="numbering" w:styleId="WW8Num32">
    <w:name w:val="WW8Num32"/>
    <w:qFormat/>
  </w:style>
  <w:style w:type="numbering" w:styleId="WW8Num33">
    <w:name w:val="WW8Num33"/>
    <w:qFormat/>
  </w:style>
  <w:style w:type="numbering" w:styleId="WW8Num34">
    <w:name w:val="WW8Num34"/>
    <w:qFormat/>
  </w:style>
  <w:style w:type="numbering" w:styleId="WW8Num35">
    <w:name w:val="WW8Num35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footer" Target="footer4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2022-08-17T07:40:00Z</dcterms:created>
  <dc:creator/>
  <dc:description/>
  <cp:keywords/>
  <dc:language>en-US</dc:language>
  <cp:lastModifiedBy/>
  <dcterms:modified xsi:type="dcterms:W3CDTF">2025-12-12T13:11:00Z</dcterms:modified>
  <cp:revision>1</cp:revision>
  <dc:subject/>
  <dc:title>Протокол вскрытия конвертов</dc:title>
</cp:coreProperties>
</file>