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rPr/>
      </w:pPr>
      <w:r>
        <w:rPr/>
        <w:t>ПРОТОКОЛ ПОДВЕДЕНИЯ ИТОГОВ</w:t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rPr/>
      </w:pPr>
      <w:r>
        <w:rPr/>
      </w:r>
    </w:p>
    <w:p>
      <w:pPr>
        <w:pStyle w:val="variable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5863625005DP</w:t>
      </w:r>
    </w:p>
    <w:p>
      <w:pPr>
        <w:pStyle w:val="variable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32515497523</w:t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Запрос котировок в электронной форме.</w:t>
      </w:r>
    </w:p>
    <w:p>
      <w:pPr>
        <w:pStyle w:val="variable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Автономное учреждение Упоровского муниципального округа "Комплексный центр социального обслуживания населения" (ИНН: 7226004803, КПП: 720701001, ОГРН: 1077215000422).</w:t>
      </w:r>
    </w:p>
    <w:p>
      <w:pPr>
        <w:pStyle w:val="text"/>
        <w:rPr/>
      </w:pPr>
      <w:r>
        <w:rPr/>
        <w:t>Место нахождения: Тюменская область, Упоровский район, с.Упорово  ул. Крупской д. 38.</w:t>
      </w:r>
    </w:p>
    <w:p>
      <w:pPr>
        <w:pStyle w:val="text"/>
        <w:rPr/>
      </w:pPr>
      <w:r>
        <w:rPr/>
        <w:t>Почтовый адрес: 627180, Тюменская область, Упоровский район, с.Упорово ул. Крупской д. 38.</w:t>
      </w:r>
    </w:p>
    <w:p>
      <w:pPr>
        <w:pStyle w:val="variable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Автономное учреждение Упоровского муниципального округа "Комплексный центр социального обслуживания населения" (ИНН: 7226004803, КПП: 720701001, ОГРН: 1077215000422).</w:t>
      </w:r>
    </w:p>
    <w:p>
      <w:pPr>
        <w:pStyle w:val="text"/>
        <w:rPr/>
      </w:pPr>
      <w:r>
        <w:rPr/>
        <w:t>Место нахождения: Тюменская область, Упоровский район, с.Упорово  ул. Крупской д. 38.</w:t>
      </w:r>
    </w:p>
    <w:p>
      <w:pPr>
        <w:pStyle w:val="text"/>
        <w:rPr/>
      </w:pPr>
      <w:r>
        <w:rPr/>
        <w:t>Почтовый адрес: 627180, Тюменская область, Упоровский район, с.Упорово ул. Крупской д. 38.</w:t>
      </w:r>
    </w:p>
    <w:p>
      <w:pPr>
        <w:pStyle w:val="variable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Сарсигеева И. В., тел.: 83454131444, e-mail: kcson-upor@obl72.ru</w:t>
      </w:r>
    </w:p>
    <w:p>
      <w:pPr>
        <w:pStyle w:val="variable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Общество с ограниченной ответственностью "РЕГИОН" (ИНН: 0278160590, КПП: 027601001, ОГРН: 1090280022777).</w:t>
      </w:r>
    </w:p>
    <w:p>
      <w:pPr>
        <w:pStyle w:val="text"/>
        <w:rPr/>
      </w:pPr>
      <w:r>
        <w:rPr/>
        <w:t>Место нахождения: 450053, Россия, Республика Башкортостан, г. Уфа, ул. Проспект Октября, д. 132/3, этаж 9.</w:t>
      </w:r>
    </w:p>
    <w:p>
      <w:pPr>
        <w:pStyle w:val="text"/>
        <w:rPr/>
      </w:pPr>
      <w:r>
        <w:rPr/>
        <w:t>Почтовый адрес: 450053, Россия, Республика Башкортостан, г. Уфа, ул. Проспект Октября, д. 132/3, этаж 9.</w:t>
      </w:r>
    </w:p>
    <w:p>
      <w:pPr>
        <w:pStyle w:val="text"/>
        <w:rPr/>
      </w:pPr>
      <w:r>
        <w:rPr/>
        <w:t>Техническая поддержка: тел.: 8 (800) 600 72 28, эл. почта: info@etp-region.ru</w:t>
      </w:r>
    </w:p>
    <w:p>
      <w:pPr>
        <w:pStyle w:val="variable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горюче-смазочных материалов (ГСМ) с использованием пластиковых карт через сеть АЗС</w:t>
      </w:r>
    </w:p>
    <w:p>
      <w:pPr>
        <w:pStyle w:val="variable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горюче-смазочных материалов (ГСМ) с использованием пластиковых карт через сеть АЗС.</w:t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10129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0"/>
        <w:gridCol w:w="2122"/>
        <w:gridCol w:w="1344"/>
        <w:gridCol w:w="1326"/>
        <w:gridCol w:w="1087"/>
        <w:gridCol w:w="2122"/>
        <w:gridCol w:w="1748"/>
      </w:tblGrid>
      <w:tr>
        <w:trPr/>
        <w:tc>
          <w:tcPr>
            <w:tcW w:w="380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12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34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32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108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Цена за единицу</w:t>
            </w:r>
          </w:p>
        </w:tc>
        <w:tc>
          <w:tcPr>
            <w:tcW w:w="212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174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2122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Бензин автомобильный с октановым числом более 92, но не более 95 по исследовательскому методу экологического класса К5</w:t>
            </w:r>
          </w:p>
        </w:tc>
        <w:tc>
          <w:tcPr>
            <w:tcW w:w="1344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невозможно определить</w:t>
            </w:r>
          </w:p>
        </w:tc>
        <w:tc>
          <w:tcPr>
            <w:tcW w:w="132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snapToGrid w:val="false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8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63.95 руб.</w:t>
            </w:r>
          </w:p>
        </w:tc>
        <w:tc>
          <w:tcPr>
            <w:tcW w:w="2122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19.20.21.125: Бензин автомобильный с октановым числом более 92, но не более 95 по исследовательскому методу экологического класса К5</w:t>
            </w:r>
          </w:p>
        </w:tc>
        <w:tc>
          <w:tcPr>
            <w:tcW w:w="174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19.20: Производство нефтепродуктов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2</w:t>
            </w:r>
          </w:p>
        </w:tc>
        <w:tc>
          <w:tcPr>
            <w:tcW w:w="2122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Бензин автомобильный с октановым числом более 95, но не более 98 по исследовательскому методу экологического класса К5</w:t>
            </w:r>
          </w:p>
        </w:tc>
        <w:tc>
          <w:tcPr>
            <w:tcW w:w="1344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невозможно определить</w:t>
            </w:r>
          </w:p>
        </w:tc>
        <w:tc>
          <w:tcPr>
            <w:tcW w:w="132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snapToGrid w:val="false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8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70.49 руб.</w:t>
            </w:r>
          </w:p>
        </w:tc>
        <w:tc>
          <w:tcPr>
            <w:tcW w:w="2122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19.20.21.135: Бензин автомобильный с октановым числом более 95, но не более 98 по исследовательскому методу экологического класса К5</w:t>
            </w:r>
          </w:p>
        </w:tc>
        <w:tc>
          <w:tcPr>
            <w:tcW w:w="174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19.20: Производство нефтепродуктов</w:t>
            </w:r>
          </w:p>
        </w:tc>
      </w:tr>
      <w:tr>
        <w:trPr/>
        <w:tc>
          <w:tcPr>
            <w:tcW w:w="380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3</w:t>
            </w:r>
          </w:p>
        </w:tc>
        <w:tc>
          <w:tcPr>
            <w:tcW w:w="2122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Топливо дизельное</w:t>
            </w:r>
          </w:p>
        </w:tc>
        <w:tc>
          <w:tcPr>
            <w:tcW w:w="1344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невозможно определить</w:t>
            </w:r>
          </w:p>
        </w:tc>
        <w:tc>
          <w:tcPr>
            <w:tcW w:w="1326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snapToGrid w:val="false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87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79.99 руб.</w:t>
            </w:r>
          </w:p>
        </w:tc>
        <w:tc>
          <w:tcPr>
            <w:tcW w:w="2122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19.20.21.300: Топливо дизельное</w:t>
            </w:r>
          </w:p>
        </w:tc>
        <w:tc>
          <w:tcPr>
            <w:tcW w:w="174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19.20: Производство нефтепродуктов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p>
      <w:pPr>
        <w:pStyle w:val="variable"/>
        <w:rPr/>
      </w:pPr>
      <w:r>
        <w:rPr/>
        <w:t>Максимальная цена договора (цена лота):</w:t>
      </w:r>
      <w:r>
        <w:rPr>
          <w:b w:val="false"/>
          <w:i w:val="false"/>
          <w:u w:val="none"/>
        </w:rPr>
        <w:t xml:space="preserve"> 1 800 000.00 руб.</w:t>
      </w:r>
    </w:p>
    <w:p>
      <w:pPr>
        <w:pStyle w:val="variable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с ценой за товар, работу, услугу (группу товаров, работ, услуг); устанавливается преимущество в отношении товаров российского происхождения, выполняемых работ, оказываемых услуг российскими лицами.</w:t>
      </w:r>
    </w:p>
    <w:p>
      <w:pPr>
        <w:pStyle w:val="variable"/>
        <w:rPr/>
      </w:pPr>
      <w:r>
        <w:rPr/>
        <w:t>Начальная (максимальная) цена товара, работы, услуги (группы товаров, работ, услуг) (сумма начальных (максимальных) цен за единицу товаров, работ, услуг):</w:t>
      </w:r>
      <w:r>
        <w:rPr>
          <w:b w:val="false"/>
          <w:i w:val="false"/>
          <w:u w:val="none"/>
        </w:rPr>
        <w:t xml:space="preserve"> 214.43 руб.</w:t>
      </w:r>
    </w:p>
    <w:p>
      <w:pPr>
        <w:pStyle w:val="variable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5 декабря 2025 года по 15 декабря 2025 года.</w:t>
      </w:r>
    </w:p>
    <w:p>
      <w:pPr>
        <w:pStyle w:val="variable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https://torgi.etp-region.ru, http://zakupki.gov.ru.</w:t>
      </w:r>
    </w:p>
    <w:p>
      <w:pPr>
        <w:pStyle w:val="variable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5 декабря 2025 года.</w:t>
      </w:r>
    </w:p>
    <w:p>
      <w:pPr>
        <w:pStyle w:val="variable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10:00 MCK+2.</w:t>
      </w:r>
    </w:p>
    <w:p>
      <w:pPr>
        <w:pStyle w:val="variable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627180, Тюменская область, Упоровский район, с.Упорово ул. Крупской д. 38, 15 декабря 2025 года в 10:27 MCK+2.</w:t>
      </w:r>
    </w:p>
    <w:p>
      <w:pPr>
        <w:pStyle w:val="variable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627180, Тюменская область, Упоровский район, с.Упорово ул. Крупской д. 38, 15 декабря 2025 года в 10:27 MCK+2.</w:t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заявок</w:t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9636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3"/>
        <w:gridCol w:w="3827"/>
        <w:gridCol w:w="1916"/>
      </w:tblGrid>
      <w:tr>
        <w:trPr/>
        <w:tc>
          <w:tcPr>
            <w:tcW w:w="3893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2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3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13.12.2025 21:40:31 MCK+2</w:t>
            </w:r>
          </w:p>
        </w:tc>
        <w:tc>
          <w:tcPr>
            <w:tcW w:w="3827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№70375</w:t>
            </w:r>
          </w:p>
        </w:tc>
        <w:tc>
          <w:tcPr>
            <w:tcW w:w="191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</w:tbl>
    <w:p>
      <w:pPr>
        <w:pStyle w:val="tex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9636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29"/>
        <w:gridCol w:w="3207"/>
      </w:tblGrid>
      <w:tr>
        <w:trPr/>
        <w:tc>
          <w:tcPr>
            <w:tcW w:w="642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20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29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№70375</w:t>
            </w:r>
          </w:p>
        </w:tc>
        <w:tc>
          <w:tcPr>
            <w:tcW w:w="320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</w:tbl>
    <w:p>
      <w:pPr>
        <w:pStyle w:val="tex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rPr/>
      </w:pPr>
      <w:r>
        <w:rPr/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variable"/>
        <w:rPr/>
      </w:pPr>
      <w:r>
        <w:rPr/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  <w:r>
        <w:rPr>
          <w:b w:val="false"/>
          <w:i w:val="false"/>
          <w:u w:val="none"/>
        </w:rPr>
        <w:t xml:space="preserve"> допущен и признан участником закупки единственный участник закупки.</w:t>
      </w:r>
    </w:p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Сведения об участниках закупки, которым присвоены первый и второй порядковые номера: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86"/>
        <w:gridCol w:w="4351"/>
      </w:tblGrid>
      <w:tr>
        <w:trPr/>
        <w:tc>
          <w:tcPr>
            <w:tcW w:w="5286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5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86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№70375, - 13.12.2025 21:40 MCK+2</w:t>
              <w:br/>
            </w:r>
            <w:r>
              <w:rPr>
                <w:u w:val="single"/>
              </w:rPr>
              <w:t>Предложение о цене за товар, работу, услугу (группу товаров, работ, услуг):</w:t>
            </w:r>
            <w:r>
              <w:rPr/>
              <w:br/>
              <w:t>208.79 руб.</w:t>
            </w:r>
          </w:p>
        </w:tc>
        <w:tc>
          <w:tcPr>
            <w:tcW w:w="435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отсутствует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IV. Сведения о признании закупки несостоявшейся</w:t>
      </w:r>
    </w:p>
    <w:p>
      <w:pPr>
        <w:pStyle w:val="text"/>
        <w:rPr/>
      </w:pPr>
      <w:r>
        <w:rPr/>
        <w:t>Конкурентная закупка признана несостоявшейся в связи с тем, что на участие в закупке подана только одна заявка</w:t>
      </w:r>
    </w:p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Состав комиссии: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0"/>
        <w:gridCol w:w="4979"/>
        <w:gridCol w:w="1758"/>
      </w:tblGrid>
      <w:tr>
        <w:trPr/>
        <w:tc>
          <w:tcPr>
            <w:tcW w:w="9637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Председатель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Сарсигеева Ирина Владимировна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Карагужева Галина Петровна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Ланцов Александр Алексеевич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highlight w:val="black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2025-12-15T05:28:31Z</dcterms:created>
  <dc:creator/>
  <dc:description/>
  <dc:language>en-US</dc:language>
  <cp:lastModifiedBy/>
  <dcterms:modified xsi:type="dcterms:W3CDTF">2025-12-15T05:28:31Z</dcterms:modified>
  <cp:revision>2</cp:revision>
  <dc:subject/>
  <dc:title/>
</cp:coreProperties>
</file>