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messagecaption"/>
        <w:rPr/>
      </w:pPr>
      <w:r>
        <w:rPr/>
        <w:t xml:space="preserve">ПРОТОКОЛ РАССМОТРЕНИЯ И ОЦЕНКИ ЗАЯВОК </w:t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(в редакции № 1)</w:t>
      </w:r>
    </w:p>
    <w:p>
      <w:pPr>
        <w:pStyle w:val="messagesubcaption"/>
        <w:rPr/>
      </w:pPr>
      <w:r>
        <w:rPr/>
        <w:t>                                                                                          </w:t>
      </w:r>
      <w:r>
        <w:rPr/>
        <w:t>15 декабря 2025 года</w:t>
      </w:r>
    </w:p>
    <w:p>
      <w:pPr>
        <w:pStyle w:val="text"/>
        <w:rPr/>
      </w:pPr>
      <w:r>
        <w:rPr/>
      </w:r>
    </w:p>
    <w:p>
      <w:pPr>
        <w:pStyle w:val="variable"/>
        <w:rPr/>
      </w:pPr>
      <w:r>
        <w:rPr/>
        <w:t>Номер процедуры:</w:t>
      </w:r>
      <w:r>
        <w:rPr>
          <w:b w:val="false"/>
          <w:i w:val="false"/>
          <w:u w:val="none"/>
        </w:rPr>
        <w:t xml:space="preserve"> 5635525023DP</w:t>
      </w:r>
    </w:p>
    <w:p>
      <w:pPr>
        <w:pStyle w:val="variable"/>
        <w:rPr/>
      </w:pPr>
      <w:r>
        <w:rPr/>
        <w:t>Реестровый номер (ЕИС):</w:t>
      </w:r>
      <w:r>
        <w:rPr>
          <w:b w:val="false"/>
          <w:i w:val="false"/>
          <w:u w:val="none"/>
        </w:rPr>
        <w:t xml:space="preserve"> 32515511828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I. Общие положения</w:t>
      </w:r>
    </w:p>
    <w:p>
      <w:pPr>
        <w:pStyle w:val="variable"/>
        <w:rPr/>
      </w:pPr>
      <w:r>
        <w:rPr/>
        <w:t>Способ закупки:</w:t>
      </w:r>
      <w:r>
        <w:rPr>
          <w:b w:val="false"/>
          <w:i w:val="false"/>
          <w:u w:val="none"/>
        </w:rPr>
        <w:t xml:space="preserve"> Ценовой запрос в электронном виде.</w:t>
      </w:r>
    </w:p>
    <w:p>
      <w:pPr>
        <w:pStyle w:val="variable"/>
        <w:rPr/>
      </w:pPr>
      <w:r>
        <w:rPr/>
        <w:t>Сведения об организаторе:</w:t>
      </w:r>
      <w:r>
        <w:rPr>
          <w:b w:val="false"/>
          <w:i w:val="false"/>
          <w:u w:val="none"/>
        </w:rPr>
        <w:t xml:space="preserve"> АКЦИОНЕРНОЕ ОБЩЕСТВО "КУРГАНСКИЙ ЦЕНТРАЛЬНЫЙ РЫНОК" (ИНН: 4501030998, КПП: 450101001, ОГРН: 1024500525642).</w:t>
      </w:r>
    </w:p>
    <w:p>
      <w:pPr>
        <w:pStyle w:val="text"/>
        <w:rPr/>
      </w:pPr>
      <w:r>
        <w:rPr/>
        <w:t>Место нахождения: 640018, Курганская область, город Курган, ул. Куйбышева, д.74.</w:t>
      </w:r>
    </w:p>
    <w:p>
      <w:pPr>
        <w:pStyle w:val="text"/>
        <w:rPr/>
      </w:pPr>
      <w:r>
        <w:rPr/>
        <w:t>Почтовый адрес: 640018, Курганская область, город Курган, ул. Куйбышева, д.74.</w:t>
      </w:r>
    </w:p>
    <w:p>
      <w:pPr>
        <w:pStyle w:val="variable"/>
        <w:rPr/>
      </w:pPr>
      <w:r>
        <w:rPr/>
        <w:t>Сведения о заказчике:</w:t>
      </w:r>
      <w:r>
        <w:rPr>
          <w:b w:val="false"/>
          <w:i w:val="false"/>
          <w:u w:val="none"/>
        </w:rPr>
        <w:t xml:space="preserve"> АКЦИОНЕРНОЕ ОБЩЕСТВО "КУРГАНСКИЙ ЦЕНТРАЛЬНЫЙ РЫНОК" (ИНН: 4501030998, КПП: 450101001, ОГРН: 1024500525642).</w:t>
      </w:r>
    </w:p>
    <w:p>
      <w:pPr>
        <w:pStyle w:val="text"/>
        <w:rPr/>
      </w:pPr>
      <w:r>
        <w:rPr/>
        <w:t>Место нахождения: 640018, Курганская область, город Курган, ул. Куйбышева, д.74.</w:t>
      </w:r>
    </w:p>
    <w:p>
      <w:pPr>
        <w:pStyle w:val="text"/>
        <w:rPr/>
      </w:pPr>
      <w:r>
        <w:rPr/>
        <w:t>Почтовый адрес: 640018, Курганская область, город Курган, ул. Куйбышева, д.74.</w:t>
      </w:r>
    </w:p>
    <w:p>
      <w:pPr>
        <w:pStyle w:val="variable"/>
        <w:rPr/>
      </w:pPr>
      <w:r>
        <w:rPr/>
        <w:t>Контактная информация:</w:t>
      </w:r>
      <w:r>
        <w:rPr>
          <w:b w:val="false"/>
          <w:i w:val="false"/>
          <w:u w:val="none"/>
        </w:rPr>
        <w:t xml:space="preserve"> Муравский М. И., тел.: 7 352 246-17-71, e-mail: kurganrinok@mail.ru</w:t>
      </w:r>
    </w:p>
    <w:p>
      <w:pPr>
        <w:pStyle w:val="variable"/>
        <w:rPr/>
      </w:pPr>
      <w:r>
        <w:rPr/>
        <w:t>Сведения об операторе электронной площадки:</w:t>
      </w:r>
      <w:r>
        <w:rPr>
          <w:b w:val="false"/>
          <w:i w:val="false"/>
          <w:u w:val="none"/>
        </w:rPr>
        <w:t xml:space="preserve"> Общество с ограниченной ответственностью "РЕГИОН" (ИНН: 0278160590, КПП: 027601001, ОГРН: 1090280022777).</w:t>
      </w:r>
    </w:p>
    <w:p>
      <w:pPr>
        <w:pStyle w:val="text"/>
        <w:rPr/>
      </w:pPr>
      <w:r>
        <w:rPr/>
        <w:t>Место нахождения: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Почтовый адрес: 450053, Россия, Республика Башкортостан, г. Уфа, ул. Проспект Октября, д. 132/3, этаж 9.</w:t>
      </w:r>
    </w:p>
    <w:p>
      <w:pPr>
        <w:pStyle w:val="text"/>
        <w:rPr/>
      </w:pPr>
      <w:r>
        <w:rPr/>
        <w:t>Техническая поддержка: тел.: 8 (800) 600 72 28, эл. почта: info@etp-region.ru</w:t>
      </w:r>
    </w:p>
    <w:p>
      <w:pPr>
        <w:pStyle w:val="variable"/>
        <w:rPr/>
      </w:pPr>
      <w:r>
        <w:rPr/>
        <w:t>Наименование закупки:</w:t>
      </w:r>
      <w:r>
        <w:rPr>
          <w:b w:val="false"/>
          <w:i w:val="false"/>
          <w:u w:val="none"/>
        </w:rPr>
        <w:t xml:space="preserve"> Перевозка грузов специализированными автотранспортными средствами </w:t>
      </w:r>
    </w:p>
    <w:p>
      <w:pPr>
        <w:pStyle w:val="variable"/>
        <w:rPr/>
      </w:pPr>
      <w:r>
        <w:rPr/>
        <w:t>Предмет договора (лота):</w:t>
      </w:r>
      <w:r>
        <w:rPr>
          <w:b w:val="false"/>
          <w:i w:val="false"/>
          <w:u w:val="none"/>
        </w:rPr>
        <w:t xml:space="preserve"> Перевозка грузов специализированными автотранспортными средствами.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>Классификация товаров, работ, услуг: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79"/>
        <w:gridCol w:w="1723"/>
        <w:gridCol w:w="1348"/>
        <w:gridCol w:w="1327"/>
        <w:gridCol w:w="1388"/>
        <w:gridCol w:w="1727"/>
        <w:gridCol w:w="1745"/>
      </w:tblGrid>
      <w:tr>
        <w:trPr/>
        <w:tc>
          <w:tcPr>
            <w:tcW w:w="37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/>
            </w:pPr>
            <w:r>
              <w:rPr/>
              <w:t xml:space="preserve">№ </w:t>
            </w:r>
            <w:r>
              <w:rPr>
                <w:b/>
              </w:rPr>
              <w:t>п/п</w:t>
            </w:r>
          </w:p>
        </w:tc>
        <w:tc>
          <w:tcPr>
            <w:tcW w:w="1723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Наименование</w:t>
            </w:r>
          </w:p>
        </w:tc>
        <w:tc>
          <w:tcPr>
            <w:tcW w:w="134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Количество (ед. измерения)</w:t>
            </w:r>
          </w:p>
        </w:tc>
        <w:tc>
          <w:tcPr>
            <w:tcW w:w="13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Вид требования</w:t>
            </w:r>
          </w:p>
        </w:tc>
        <w:tc>
          <w:tcPr>
            <w:tcW w:w="1388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Цена за единицу</w:t>
            </w:r>
          </w:p>
        </w:tc>
        <w:tc>
          <w:tcPr>
            <w:tcW w:w="17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ОКПД 2</w:t>
            </w:r>
          </w:p>
        </w:tc>
        <w:tc>
          <w:tcPr>
            <w:tcW w:w="1745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Код ОКВЭД 2</w:t>
            </w:r>
          </w:p>
        </w:tc>
      </w:tr>
      <w:tr>
        <w:trPr/>
        <w:tc>
          <w:tcPr>
            <w:tcW w:w="37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723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Услуги по перевозке грузов автомобильным транспортом прочие, не включенные в другие группировки</w:t>
            </w:r>
          </w:p>
        </w:tc>
        <w:tc>
          <w:tcPr>
            <w:tcW w:w="134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невозможно определить</w:t>
            </w:r>
          </w:p>
        </w:tc>
        <w:tc>
          <w:tcPr>
            <w:tcW w:w="13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snapToGrid w:val="false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388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5 833.33 руб.</w:t>
            </w:r>
          </w:p>
        </w:tc>
        <w:tc>
          <w:tcPr>
            <w:tcW w:w="17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49.41.19.900: Услуги по перевозке грузов автомобильным транспортом прочие, не включенные в другие группировки</w:t>
            </w:r>
          </w:p>
        </w:tc>
        <w:tc>
          <w:tcPr>
            <w:tcW w:w="1745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49.41: Деятельность автомобильного грузового транспорта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variable"/>
        <w:rPr/>
      </w:pPr>
      <w:r>
        <w:rPr/>
        <w:t>Максимальная цена договора (цена лота):</w:t>
      </w:r>
      <w:r>
        <w:rPr>
          <w:b w:val="false"/>
          <w:i w:val="false"/>
          <w:u w:val="none"/>
        </w:rPr>
        <w:t xml:space="preserve"> 300 000.00 руб.</w:t>
      </w:r>
    </w:p>
    <w:p>
      <w:pPr>
        <w:pStyle w:val="variable"/>
        <w:rPr/>
      </w:pPr>
      <w:r>
        <w:rPr/>
        <w:t>Особенности проведения закупки:</w:t>
      </w:r>
      <w:r>
        <w:rPr>
          <w:b w:val="false"/>
          <w:i w:val="false"/>
          <w:u w:val="none"/>
        </w:rPr>
        <w:t xml:space="preserve"> с ценой за товар, работу, услугу (группу товаров, работ, услуг); только для субъектов малого и среднего предпринимательства.</w:t>
      </w:r>
    </w:p>
    <w:p>
      <w:pPr>
        <w:pStyle w:val="variable"/>
        <w:rPr/>
      </w:pPr>
      <w:r>
        <w:rPr/>
        <w:t>Начальная (максимальная) цена товара, работы, услуги (группы товаров, работ, услуг) (сумма начальных (максимальных) цен за единицу товаров, работ, услуг):</w:t>
      </w:r>
      <w:r>
        <w:rPr>
          <w:b w:val="false"/>
          <w:i w:val="false"/>
          <w:u w:val="none"/>
        </w:rPr>
        <w:t xml:space="preserve"> 5 833.33 руб.</w:t>
      </w:r>
    </w:p>
    <w:p>
      <w:pPr>
        <w:pStyle w:val="variable"/>
        <w:rPr/>
      </w:pPr>
      <w:r>
        <w:rPr/>
        <w:t>Срок предоставления документации о закупке:</w:t>
      </w:r>
      <w:r>
        <w:rPr>
          <w:b w:val="false"/>
          <w:i w:val="false"/>
          <w:u w:val="none"/>
        </w:rPr>
        <w:t xml:space="preserve"> с 10 декабря 2025 года по 15 декабря 2025 года.</w:t>
      </w:r>
    </w:p>
    <w:p>
      <w:pPr>
        <w:pStyle w:val="variable"/>
        <w:rPr/>
      </w:pPr>
      <w:r>
        <w:rPr/>
        <w:t>Место предоставления документации о закупке: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Порядок предоставления документации о закупке:</w:t>
      </w:r>
      <w:r>
        <w:rPr>
          <w:b w:val="false"/>
          <w:i w:val="false"/>
          <w:u w:val="none"/>
        </w:rPr>
        <w:t xml:space="preserve"> В электронной форме.</w:t>
      </w:r>
    </w:p>
    <w:p>
      <w:pPr>
        <w:pStyle w:val="variable"/>
        <w:rPr/>
      </w:pPr>
      <w:r>
        <w:rPr/>
        <w:t>Официальный сайт, на котором размещена документация о закупке:</w:t>
      </w:r>
      <w:r>
        <w:rPr>
          <w:b w:val="false"/>
          <w:i w:val="false"/>
          <w:u w:val="none"/>
        </w:rPr>
        <w:t xml:space="preserve"> https://torgi.etp-region.ru, http://zakupki.gov.ru.</w:t>
      </w:r>
    </w:p>
    <w:p>
      <w:pPr>
        <w:pStyle w:val="variable"/>
        <w:rPr/>
      </w:pPr>
      <w:r>
        <w:rPr/>
        <w:t>Размер, срок и порядок внесения платы за предоставление документации о закупке:</w:t>
      </w:r>
      <w:r>
        <w:rPr>
          <w:b w:val="false"/>
          <w:i w:val="false"/>
          <w:u w:val="none"/>
        </w:rPr>
        <w:t xml:space="preserve"> плата не установлена.</w:t>
      </w:r>
    </w:p>
    <w:p>
      <w:pPr>
        <w:pStyle w:val="variable"/>
        <w:rPr/>
      </w:pPr>
      <w:r>
        <w:rPr/>
        <w:t>Место подачи заявок:</w:t>
      </w:r>
      <w:r>
        <w:rPr>
          <w:b w:val="false"/>
          <w:i w:val="false"/>
          <w:u w:val="none"/>
        </w:rPr>
        <w:t xml:space="preserve"> ЭТП РЕГИОН https://torgi.etp-region.ru.</w:t>
      </w:r>
    </w:p>
    <w:p>
      <w:pPr>
        <w:pStyle w:val="variable"/>
        <w:rPr/>
      </w:pPr>
      <w:r>
        <w:rPr/>
        <w:t>Дата начала подачи заявок:</w:t>
      </w:r>
      <w:r>
        <w:rPr>
          <w:b w:val="false"/>
          <w:i w:val="false"/>
          <w:u w:val="none"/>
        </w:rPr>
        <w:t xml:space="preserve"> 10 декабря 2025 года.</w:t>
      </w:r>
    </w:p>
    <w:p>
      <w:pPr>
        <w:pStyle w:val="variable"/>
        <w:rPr/>
      </w:pPr>
      <w:r>
        <w:rPr/>
        <w:t>Дата и время окончания подачи заявок:</w:t>
      </w:r>
      <w:r>
        <w:rPr>
          <w:b w:val="false"/>
          <w:i w:val="false"/>
          <w:u w:val="none"/>
        </w:rPr>
        <w:t xml:space="preserve"> 15 декабря 2025 года в 10:00 MCK+2.</w:t>
      </w:r>
    </w:p>
    <w:p>
      <w:pPr>
        <w:pStyle w:val="variable"/>
        <w:rPr/>
      </w:pPr>
      <w:r>
        <w:rPr/>
        <w:t>Место, дата и время рассмотрения заявок:</w:t>
      </w:r>
      <w:r>
        <w:rPr>
          <w:b w:val="false"/>
          <w:i w:val="false"/>
          <w:u w:val="none"/>
        </w:rPr>
        <w:t xml:space="preserve"> 640018, Курганская область, город Курган, ул. Куйбышева, д.74, 15 декабря 2025 года в 10:24 MCK+2.</w:t>
      </w:r>
    </w:p>
    <w:p>
      <w:pPr>
        <w:pStyle w:val="variable"/>
        <w:rPr/>
      </w:pPr>
      <w:r>
        <w:rPr/>
        <w:t>Место, дата и время подведения итогов закупки:</w:t>
      </w:r>
      <w:r>
        <w:rPr>
          <w:b w:val="false"/>
          <w:i w:val="false"/>
          <w:u w:val="none"/>
        </w:rPr>
        <w:t xml:space="preserve"> 640018, Курганская область, город Курган, ул. Куйбышева, д.74, 15 декабря 2025 года в 10:24 MCK+2.</w:t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II. Сведения о результатах рассмотрения заявок</w:t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подавших заявки на участие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893"/>
        <w:gridCol w:w="3827"/>
        <w:gridCol w:w="1916"/>
      </w:tblGrid>
      <w:tr>
        <w:trPr/>
        <w:tc>
          <w:tcPr>
            <w:tcW w:w="3893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Дата и время регистрации заявки</w:t>
            </w:r>
          </w:p>
        </w:tc>
        <w:tc>
          <w:tcPr>
            <w:tcW w:w="382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1916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3893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11.12.2025 13:42:54 MCK+2</w:t>
            </w:r>
          </w:p>
        </w:tc>
        <w:tc>
          <w:tcPr>
            <w:tcW w:w="3827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№70227</w:t>
            </w:r>
          </w:p>
        </w:tc>
        <w:tc>
          <w:tcPr>
            <w:tcW w:w="1916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Normal"/>
        <w:rPr>
          <w:b/>
          <w:i w:val="false"/>
          <w:i w:val="false"/>
          <w:sz w:val="24"/>
          <w:u w:val="none"/>
        </w:rPr>
      </w:pPr>
      <w:r>
        <w:rPr>
          <w:b/>
          <w:i w:val="false"/>
          <w:sz w:val="24"/>
          <w:u w:val="none"/>
        </w:rPr>
        <w:t xml:space="preserve">Сведения об участниках, допущенных к участию в закупке: </w:t>
      </w:r>
    </w:p>
    <w:tbl>
      <w:tblPr>
        <w:tblW w:w="9636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6429"/>
        <w:gridCol w:w="3207"/>
      </w:tblGrid>
      <w:tr>
        <w:trPr/>
        <w:tc>
          <w:tcPr>
            <w:tcW w:w="6429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Номер заявки участника закупки</w:t>
            </w:r>
          </w:p>
        </w:tc>
        <w:tc>
          <w:tcPr>
            <w:tcW w:w="3207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Почтовый адрес</w:t>
            </w:r>
          </w:p>
        </w:tc>
      </w:tr>
      <w:tr>
        <w:trPr/>
        <w:tc>
          <w:tcPr>
            <w:tcW w:w="6429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№70227</w:t>
            </w:r>
          </w:p>
        </w:tc>
        <w:tc>
          <w:tcPr>
            <w:tcW w:w="3207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</w:tbl>
    <w:p>
      <w:pPr>
        <w:pStyle w:val="text"/>
        <w:rPr>
          <w:b w:val="false"/>
          <w:i w:val="false"/>
          <w:i w:val="false"/>
          <w:u w:val="none"/>
        </w:rPr>
      </w:pPr>
      <w:r>
        <w:rPr>
          <w:b w:val="false"/>
          <w:i w:val="false"/>
          <w:u w:val="none"/>
        </w:rPr>
      </w:r>
    </w:p>
    <w:p>
      <w:pPr>
        <w:pStyle w:val="variable"/>
        <w:rPr/>
      </w:pPr>
      <w:r>
        <w:rPr/>
        <w:t>Сведения об участниках, которым отказано в допуске к участию в закупке с указанием причин отклонения:</w:t>
      </w:r>
      <w:r>
        <w:rPr>
          <w:b w:val="false"/>
          <w:i w:val="false"/>
          <w:u w:val="none"/>
        </w:rPr>
        <w:t xml:space="preserve"> отклоненные заявки отсутствуют.</w:t>
      </w:r>
    </w:p>
    <w:p>
      <w:pPr>
        <w:pStyle w:val="text"/>
        <w:rPr/>
      </w:pPr>
      <w:r>
        <w:rPr/>
      </w:r>
    </w:p>
    <w:p>
      <w:pPr>
        <w:pStyle w:val="text"/>
        <w:rPr/>
      </w:pPr>
      <w:r>
        <w:rPr/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III. Сведения о результатах подведения итогов закупки</w:t>
      </w:r>
    </w:p>
    <w:p>
      <w:pPr>
        <w:pStyle w:val="variable"/>
        <w:rPr/>
      </w:pPr>
      <w:r>
        <w:rPr/>
        <w:t>Сведения о принятом на основании подведения итогов закупки решении о присвоении участникам закупки следующих порядковых номеров (по мере уменьшения степени выгодности содержащихся в них условий исполнения договора):</w:t>
      </w:r>
      <w:r>
        <w:rPr>
          <w:b w:val="false"/>
          <w:i w:val="false"/>
          <w:u w:val="none"/>
        </w:rPr>
        <w:t xml:space="preserve"> допущен и признан участником закупки единственный участник закупки.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Сведения об участниках закупки, которым присвоены первый и второй порядковые номера: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286"/>
        <w:gridCol w:w="4351"/>
      </w:tblGrid>
      <w:tr>
        <w:trPr/>
        <w:tc>
          <w:tcPr>
            <w:tcW w:w="5286" w:type="dxa"/>
            <w:tcBorders>
              <w:top w:val="single" w:sz="6" w:space="0" w:color="000000"/>
              <w:start w:val="single" w:sz="6" w:space="0" w:color="000000"/>
              <w:bottom w:val="single" w:sz="2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первый порядковый номер (победитель)</w:t>
            </w:r>
          </w:p>
        </w:tc>
        <w:tc>
          <w:tcPr>
            <w:tcW w:w="4351" w:type="dxa"/>
            <w:tcBorders>
              <w:top w:val="single" w:sz="6" w:space="0" w:color="000000"/>
              <w:start w:val="single" w:sz="2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Участник, которому присвоен второй порядковый номер</w:t>
            </w:r>
          </w:p>
        </w:tc>
      </w:tr>
      <w:tr>
        <w:trPr/>
        <w:tc>
          <w:tcPr>
            <w:tcW w:w="5286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Заявка №70227, - 11.12.2025 13:42 MCK+2</w:t>
              <w:br/>
            </w:r>
            <w:r>
              <w:rPr>
                <w:u w:val="single"/>
              </w:rPr>
              <w:t>Предложение о цене за товар, работу, услугу (группу товаров, работ, услуг):</w:t>
            </w:r>
            <w:r>
              <w:rPr/>
              <w:br/>
              <w:t>5 400.00 руб.</w:t>
            </w:r>
          </w:p>
        </w:tc>
        <w:tc>
          <w:tcPr>
            <w:tcW w:w="4351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отсутствует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p>
      <w:pPr>
        <w:pStyle w:val="centered"/>
        <w:rPr>
          <w:b/>
          <w:i w:val="false"/>
          <w:i w:val="false"/>
          <w:u w:val="none"/>
        </w:rPr>
      </w:pPr>
      <w:r>
        <w:rPr>
          <w:b/>
          <w:i w:val="false"/>
          <w:u w:val="none"/>
        </w:rPr>
        <w:t>IV. Сведения о признании закупки несостоявшейся</w:t>
      </w:r>
    </w:p>
    <w:p>
      <w:pPr>
        <w:pStyle w:val="text"/>
        <w:rPr/>
      </w:pPr>
      <w:r>
        <w:rPr/>
        <w:t>На участие в закупке была подана только одна заявка</w:t>
      </w:r>
    </w:p>
    <w:p>
      <w:pPr>
        <w:pStyle w:val="text"/>
        <w:rPr/>
      </w:pPr>
      <w:r>
        <w:rPr/>
      </w:r>
    </w:p>
    <w:p>
      <w:pPr>
        <w:pStyle w:val="Normal"/>
        <w:rPr>
          <w:b/>
        </w:rPr>
      </w:pPr>
      <w:r>
        <w:rPr>
          <w:b/>
        </w:rPr>
        <w:t>Состав комиссии:</w:t>
      </w:r>
    </w:p>
    <w:tbl>
      <w:tblPr>
        <w:tblW w:w="9637" w:type="dxa"/>
        <w:jc w:val="start"/>
        <w:tblInd w:w="28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900"/>
        <w:gridCol w:w="4979"/>
        <w:gridCol w:w="1758"/>
      </w:tblGrid>
      <w:tr>
        <w:trPr/>
        <w:tc>
          <w:tcPr>
            <w:tcW w:w="9637" w:type="dxa"/>
            <w:gridSpan w:val="3"/>
            <w:tcBorders>
              <w:top w:val="single" w:sz="6" w:space="0" w:color="000000"/>
              <w:start w:val="single" w:sz="6" w:space="0" w:color="000000"/>
              <w:bottom w:val="single" w:sz="2" w:space="0" w:color="000000"/>
              <w:end w:val="single" w:sz="6" w:space="0" w:color="000000"/>
            </w:tcBorders>
            <w:vAlign w:val="center"/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Комиссия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Роль в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Ф.И.О.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center"/>
              <w:rPr>
                <w:b/>
              </w:rPr>
            </w:pPr>
            <w:r>
              <w:rPr>
                <w:b/>
              </w:rPr>
              <w:t>Подпись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Председатель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Муравский Максим Ильич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Егоров Сергей Евгеньевич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Член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2" w:space="0" w:color="000000"/>
            </w:tcBorders>
          </w:tcPr>
          <w:p>
            <w:pPr>
              <w:pStyle w:val="TableContents"/>
              <w:rPr/>
            </w:pPr>
            <w:r>
              <w:rPr/>
              <w:t>Саласюк Елена Владимировна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2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  <w:tr>
        <w:trPr/>
        <w:tc>
          <w:tcPr>
            <w:tcW w:w="2900" w:type="dxa"/>
            <w:tcBorders>
              <w:start w:val="single" w:sz="6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Секретарь комиссии</w:t>
            </w:r>
          </w:p>
        </w:tc>
        <w:tc>
          <w:tcPr>
            <w:tcW w:w="4979" w:type="dxa"/>
            <w:tcBorders>
              <w:start w:val="single" w:sz="2" w:space="0" w:color="000000"/>
              <w:bottom w:val="single" w:sz="6" w:space="0" w:color="000000"/>
            </w:tcBorders>
          </w:tcPr>
          <w:p>
            <w:pPr>
              <w:pStyle w:val="TableContents"/>
              <w:rPr/>
            </w:pPr>
            <w:r>
              <w:rPr/>
              <w:t>Первухина Юлия Леонидовна</w:t>
            </w:r>
          </w:p>
        </w:tc>
        <w:tc>
          <w:tcPr>
            <w:tcW w:w="1758" w:type="dxa"/>
            <w:tcBorders>
              <w:start w:val="single" w:sz="2" w:space="0" w:color="000000"/>
              <w:bottom w:val="single" w:sz="6" w:space="0" w:color="000000"/>
              <w:end w:val="single" w:sz="6" w:space="0" w:color="000000"/>
            </w:tcBorders>
          </w:tcPr>
          <w:p>
            <w:pPr>
              <w:pStyle w:val="TableContents"/>
              <w:jc w:val="start"/>
              <w:rPr/>
            </w:pPr>
            <w:r>
              <w:rPr/>
              <w:t> </w:t>
            </w:r>
          </w:p>
        </w:tc>
      </w:tr>
    </w:tbl>
    <w:p>
      <w:pPr>
        <w:pStyle w:val="text"/>
        <w:rPr>
          <w:b w:val="false"/>
        </w:rPr>
      </w:pPr>
      <w:r>
        <w:rPr>
          <w:b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Arial">
    <w:charset w:val="01"/>
    <w:family w:val="swiss"/>
    <w:pitch w:val="default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val="bestFit" w:percent="20"/>
  <w:defaultTabStop w:val="709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suppressAutoHyphens w:val="true"/>
      <w:kinsoku w:val="true"/>
      <w:overflowPunct w:val="true"/>
      <w:autoSpaceDE w:val="true"/>
      <w:bidi w:val="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outlineLvl w:val="0"/>
    </w:pPr>
    <w:rPr>
      <w:b/>
      <w:bCs/>
      <w:sz w:val="32"/>
      <w:szCs w:val="32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outlineLvl w:val="1"/>
    </w:pPr>
    <w:rPr>
      <w:b/>
      <w:bCs/>
      <w:i/>
      <w:iCs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outlineLvl w:val="2"/>
    </w:pPr>
    <w:rPr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FootnoteCharacters">
    <w:name w:val="Footnote Characters"/>
    <w:qFormat/>
    <w:rPr/>
  </w:style>
  <w:style w:type="character" w:styleId="EndnoteCharacters">
    <w:name w:val="Endnote Characters"/>
    <w:qFormat/>
    <w:rPr/>
  </w:style>
  <w:style w:type="character" w:styleId="Hyperlink">
    <w:name w:val="Hyperlink"/>
    <w:rPr>
      <w:color w:val="000080"/>
      <w:u w:val="single"/>
      <w:lang w:val="zxx" w:eastAsia="zxx" w:bidi="zxx"/>
    </w:rPr>
  </w:style>
  <w:style w:type="character" w:styleId="FollowedHyperlink">
    <w:name w:val="FollowedHyperlink"/>
    <w:rPr>
      <w:color w:val="800000"/>
      <w:u w:val="single"/>
      <w:lang w:val="zxx" w:eastAsia="zxx" w:bidi="zxx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Lucida Sans Unicode" w:cs="Tahoma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ascii="Arial" w:hAnsi="Arial" w:cs="Tahoma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ascii="Times New Roman" w:hAnsi="Times New Roman" w:cs="Tahoma"/>
      <w:i/>
      <w:iCs/>
      <w:sz w:val="20"/>
      <w:szCs w:val="24"/>
    </w:rPr>
  </w:style>
  <w:style w:type="paragraph" w:styleId="Index">
    <w:name w:val="Index"/>
    <w:basedOn w:val="Normal"/>
    <w:qFormat/>
    <w:pPr>
      <w:suppressLineNumbers/>
    </w:pPr>
    <w:rPr>
      <w:rFonts w:ascii="Arial" w:hAnsi="Arial" w:cs="Tahoma"/>
    </w:rPr>
  </w:style>
  <w:style w:type="paragraph" w:styleId="BodyTextFirstIndent">
    <w:name w:val="Body Text First Indent"/>
    <w:basedOn w:val="BodyText"/>
    <w:pPr>
      <w:ind w:firstLine="283" w:start="0" w:end="0"/>
    </w:pPr>
    <w:rPr/>
  </w:style>
  <w:style w:type="paragraph" w:styleId="WW-Heading">
    <w:name w:val="WW-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DejaVu Sans" w:cs="DejaVu Sans"/>
      <w:sz w:val="28"/>
      <w:szCs w:val="28"/>
    </w:rPr>
  </w:style>
  <w:style w:type="paragraph" w:styleId="Subtitle">
    <w:name w:val="Subtitle"/>
    <w:basedOn w:val="Heading"/>
    <w:next w:val="BodyText"/>
    <w:qFormat/>
    <w:pPr>
      <w:jc w:val="center"/>
    </w:pPr>
    <w:rPr>
      <w:i/>
      <w:iCs/>
      <w:sz w:val="28"/>
      <w:szCs w:val="28"/>
    </w:rPr>
  </w:style>
  <w:style w:type="paragraph" w:styleId="Bibliography1">
    <w:name w:val="Bibliography 1"/>
    <w:basedOn w:val="Index"/>
    <w:qFormat/>
    <w:pPr>
      <w:tabs>
        <w:tab w:val="clear" w:pos="709"/>
        <w:tab w:val="right" w:pos="9637" w:leader="dot"/>
      </w:tabs>
      <w:ind w:hanging="0" w:start="0" w:end="0"/>
    </w:pPr>
    <w:rPr/>
  </w:style>
  <w:style w:type="paragraph" w:styleId="publication">
    <w:name w:val="publication"/>
    <w:basedOn w:val="Normal"/>
    <w:next w:val="text"/>
    <w:qFormat/>
    <w:pPr>
      <w:pBdr/>
      <w:spacing w:lineRule="auto" w:line="240"/>
    </w:pPr>
    <w:rPr>
      <w:rFonts w:ascii="Arial" w:hAnsi="Arial" w:cs="Arial"/>
      <w:b w:val="false"/>
      <w:color w:val="FFFFFF"/>
      <w:sz w:val="22"/>
      <w:highlight w:val="black"/>
    </w:rPr>
  </w:style>
  <w:style w:type="paragraph" w:styleId="text">
    <w:name w:val="text"/>
    <w:qFormat/>
    <w:pPr>
      <w:widowControl w:val="false"/>
      <w:suppressAutoHyphens w:val="true"/>
      <w:kinsoku w:val="true"/>
      <w:overflowPunct w:val="true"/>
      <w:autoSpaceDE w:val="true"/>
      <w:bidi w:val="0"/>
      <w:spacing w:lineRule="auto" w:line="240"/>
    </w:pPr>
    <w:rPr>
      <w:rFonts w:ascii="Times New Roman" w:hAnsi="Times New Roman" w:eastAsia="Lucida Sans Unicode" w:cs="Tahoma"/>
      <w:color w:val="auto"/>
      <w:kern w:val="2"/>
      <w:sz w:val="24"/>
      <w:szCs w:val="24"/>
      <w:lang w:val="ru-RU" w:eastAsia="ru-RU" w:bidi="ru-RU"/>
    </w:rPr>
  </w:style>
  <w:style w:type="paragraph" w:styleId="layout0">
    <w:name w:val="layout0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>
      <w:b/>
      <w:sz w:val="32"/>
    </w:rPr>
  </w:style>
  <w:style w:type="paragraph" w:styleId="layout1">
    <w:name w:val="layout1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layout2">
    <w:name w:val="layout2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messagecaption">
    <w:name w:val="messagecaption"/>
    <w:basedOn w:val="text"/>
    <w:next w:val="text"/>
    <w:qFormat/>
    <w:pPr>
      <w:spacing w:lineRule="atLeast" w:line="0"/>
      <w:jc w:val="center"/>
    </w:pPr>
    <w:rPr>
      <w:b/>
      <w:caps/>
    </w:rPr>
  </w:style>
  <w:style w:type="paragraph" w:styleId="messagesubcaption">
    <w:name w:val="messagesubcaption"/>
    <w:basedOn w:val="text"/>
    <w:next w:val="text"/>
    <w:qFormat/>
    <w:pPr>
      <w:jc w:val="center"/>
    </w:pPr>
    <w:rPr>
      <w:b w:val="false"/>
      <w:caps w:val="false"/>
      <w:smallCaps w:val="false"/>
    </w:rPr>
  </w:style>
  <w:style w:type="paragraph" w:styleId="print">
    <w:name w:val="print"/>
    <w:basedOn w:val="Heading1"/>
    <w:next w:val="text"/>
    <w:qFormat/>
    <w:pPr>
      <w:numPr>
        <w:ilvl w:val="0"/>
        <w:numId w:val="0"/>
      </w:numPr>
      <w:ind w:hanging="0" w:start="0" w:end="0"/>
      <w:outlineLvl w:val="9"/>
    </w:pPr>
    <w:rPr/>
  </w:style>
  <w:style w:type="paragraph" w:styleId="printChapter">
    <w:name w:val="printChapter"/>
    <w:basedOn w:val="Heading2"/>
    <w:next w:val="text"/>
    <w:qFormat/>
    <w:pPr>
      <w:numPr>
        <w:ilvl w:val="0"/>
        <w:numId w:val="0"/>
      </w:numPr>
      <w:ind w:hanging="0" w:start="0" w:end="0"/>
      <w:outlineLvl w:val="9"/>
    </w:pPr>
    <w:rPr>
      <w:sz w:val="28"/>
    </w:rPr>
  </w:style>
  <w:style w:type="paragraph" w:styleId="printSubChapter">
    <w:name w:val="printSubChapter"/>
    <w:basedOn w:val="Heading3"/>
    <w:next w:val="text"/>
    <w:qFormat/>
    <w:pPr>
      <w:numPr>
        <w:ilvl w:val="0"/>
        <w:numId w:val="0"/>
      </w:numPr>
      <w:ind w:hanging="0" w:start="0" w:end="0"/>
      <w:outlineLvl w:val="9"/>
    </w:pPr>
    <w:rPr>
      <w:sz w:val="26"/>
    </w:rPr>
  </w:style>
  <w:style w:type="paragraph" w:styleId="variable">
    <w:name w:val="variable"/>
    <w:basedOn w:val="text"/>
    <w:next w:val="text"/>
    <w:qFormat/>
    <w:pPr/>
    <w:rPr>
      <w:b/>
    </w:rPr>
  </w:style>
  <w:style w:type="paragraph" w:styleId="Text1">
    <w:name w:val="Text1"/>
    <w:basedOn w:val="Caption"/>
    <w:qFormat/>
    <w:pPr/>
    <w:rPr/>
  </w:style>
  <w:style w:type="paragraph" w:styleId="centered">
    <w:name w:val="centered"/>
    <w:basedOn w:val="text"/>
    <w:next w:val="text"/>
    <w:qFormat/>
    <w:pPr>
      <w:jc w:val="center"/>
    </w:pPr>
    <w:rPr/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ListContents">
    <w:name w:val="List Contents"/>
    <w:basedOn w:val="Normal"/>
    <w:qFormat/>
    <w:pPr>
      <w:ind w:hanging="0" w:start="567" w:end="0"/>
    </w:pPr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2025-12-15T05:28:50Z</dcterms:created>
  <dc:creator/>
  <dc:description/>
  <dc:language>en-US</dc:language>
  <cp:lastModifiedBy/>
  <dcterms:modified xsi:type="dcterms:W3CDTF">2025-12-15T05:28:50Z</dcterms:modified>
  <cp:revision>2</cp:revision>
  <dc:subject/>
  <dc:title/>
</cp:coreProperties>
</file>