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messagecaption"/>
        <w:rPr/>
      </w:pPr>
      <w:r>
        <w:rPr/>
        <w:t>ИТОГОВЫЙ ПРОТОКОЛ ЗАПРОСА КОТИРОВОК В ЭЛЕКТРОННОЙ ФОРМЕ</w:t>
      </w:r>
    </w:p>
    <w:p>
      <w:pPr>
        <w:pStyle w:val="centered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(в редакции № 1)</w:t>
      </w:r>
    </w:p>
    <w:p>
      <w:pPr>
        <w:pStyle w:val="messagesubcaption"/>
        <w:rPr/>
      </w:pPr>
      <w:r>
        <w:rPr/>
        <w:t>                                                                                          </w:t>
      </w:r>
      <w:r>
        <w:rPr/>
        <w:t>15 декабря 2025 года</w:t>
      </w:r>
    </w:p>
    <w:p>
      <w:pPr>
        <w:pStyle w:val="text"/>
        <w:rPr/>
      </w:pPr>
      <w:r>
        <w:rPr/>
      </w:r>
    </w:p>
    <w:p>
      <w:pPr>
        <w:pStyle w:val="variable"/>
        <w:rPr/>
      </w:pPr>
      <w:r>
        <w:rPr/>
        <w:t>Номер процедуры:</w:t>
      </w:r>
      <w:r>
        <w:rPr>
          <w:b w:val="false"/>
          <w:i w:val="false"/>
          <w:u w:val="none"/>
        </w:rPr>
        <w:t xml:space="preserve"> 7746025018DP</w:t>
      </w:r>
    </w:p>
    <w:p>
      <w:pPr>
        <w:pStyle w:val="variable"/>
        <w:rPr/>
      </w:pPr>
      <w:r>
        <w:rPr/>
        <w:t>Реестровый номер (ЕИС):</w:t>
      </w:r>
      <w:r>
        <w:rPr>
          <w:b w:val="false"/>
          <w:i w:val="false"/>
          <w:u w:val="none"/>
        </w:rPr>
        <w:t xml:space="preserve"> 32515494609</w:t>
      </w:r>
    </w:p>
    <w:p>
      <w:pPr>
        <w:pStyle w:val="text"/>
        <w:rPr/>
      </w:pPr>
      <w:r>
        <w:rPr/>
      </w:r>
    </w:p>
    <w:p>
      <w:pPr>
        <w:pStyle w:val="centered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I. Общие положения</w:t>
      </w:r>
    </w:p>
    <w:p>
      <w:pPr>
        <w:pStyle w:val="variable"/>
        <w:rPr/>
      </w:pPr>
      <w:r>
        <w:rPr/>
        <w:t>Способ закупки:</w:t>
      </w:r>
      <w:r>
        <w:rPr>
          <w:b w:val="false"/>
          <w:i w:val="false"/>
          <w:u w:val="none"/>
        </w:rPr>
        <w:t xml:space="preserve"> Запрос котировок в электронной форме.</w:t>
      </w:r>
    </w:p>
    <w:p>
      <w:pPr>
        <w:pStyle w:val="variable"/>
        <w:rPr/>
      </w:pPr>
      <w:r>
        <w:rPr/>
        <w:t>Сведения об организаторе:</w:t>
      </w:r>
      <w:r>
        <w:rPr>
          <w:b w:val="false"/>
          <w:i w:val="false"/>
          <w:u w:val="none"/>
        </w:rPr>
        <w:t xml:space="preserve"> ГОСУДАРСТВЕННОЕ АВТОНОМНОЕ ПРОФЕССИОНАЛЬНОЕ ОБРАЗОВАТЕЛЬНОЕ УЧРЕЖДЕНИЕ ЛЕНИНГРАДСКОЙ ОБЛАСТИ "БОРСКИЙ АГРОПРОМЫШЛЕННЫЙ ТЕХНИКУМ" (ИНН: 4701002194, КПП: 471501001, ОГРН: 1034700507852).</w:t>
      </w:r>
    </w:p>
    <w:p>
      <w:pPr>
        <w:pStyle w:val="text"/>
        <w:rPr/>
      </w:pPr>
      <w:r>
        <w:rPr/>
        <w:t>Место нахождения: 187643, Ленинградская область, Бокситогорский район, деревня Бор.</w:t>
      </w:r>
    </w:p>
    <w:p>
      <w:pPr>
        <w:pStyle w:val="text"/>
        <w:rPr/>
      </w:pPr>
      <w:r>
        <w:rPr/>
        <w:t>Почтовый адрес: 187643, Ленинградская область, Бокситогорский район, деревня Бор.</w:t>
      </w:r>
    </w:p>
    <w:p>
      <w:pPr>
        <w:pStyle w:val="variable"/>
        <w:rPr/>
      </w:pPr>
      <w:r>
        <w:rPr/>
        <w:t>Сведения о заказчике:</w:t>
      </w:r>
      <w:r>
        <w:rPr>
          <w:b w:val="false"/>
          <w:i w:val="false"/>
          <w:u w:val="none"/>
        </w:rPr>
        <w:t xml:space="preserve"> ГОСУДАРСТВЕННОЕ АВТОНОМНОЕ ПРОФЕССИОНАЛЬНОЕ ОБРАЗОВАТЕЛЬНОЕ УЧРЕЖДЕНИЕ ЛЕНИНГРАДСКОЙ ОБЛАСТИ "БОРСКИЙ АГРОПРОМЫШЛЕННЫЙ ТЕХНИКУМ" (ИНН: 4701002194, КПП: 471501001, ОГРН: 1034700507852).</w:t>
      </w:r>
    </w:p>
    <w:p>
      <w:pPr>
        <w:pStyle w:val="text"/>
        <w:rPr/>
      </w:pPr>
      <w:r>
        <w:rPr/>
        <w:t>Место нахождения: 187643, Ленинградская область, Бокситогорский район, деревня Бор.</w:t>
      </w:r>
    </w:p>
    <w:p>
      <w:pPr>
        <w:pStyle w:val="text"/>
        <w:rPr/>
      </w:pPr>
      <w:r>
        <w:rPr/>
        <w:t>Почтовый адрес: 187643, Ленинградская область, Бокситогорский район, деревня Бор.</w:t>
      </w:r>
    </w:p>
    <w:p>
      <w:pPr>
        <w:pStyle w:val="variable"/>
        <w:rPr/>
      </w:pPr>
      <w:r>
        <w:rPr/>
        <w:t>Контактная информация:</w:t>
      </w:r>
      <w:r>
        <w:rPr>
          <w:b w:val="false"/>
          <w:i w:val="false"/>
          <w:u w:val="none"/>
        </w:rPr>
        <w:t xml:space="preserve"> Ганчук Н. К., тел.: +7 813 662-42-46, e-mail: buhbapt@mail.ru</w:t>
      </w:r>
    </w:p>
    <w:p>
      <w:pPr>
        <w:pStyle w:val="variable"/>
        <w:rPr/>
      </w:pPr>
      <w:r>
        <w:rPr/>
        <w:t>Сведения об операторе электронной площадки:</w:t>
      </w:r>
      <w:r>
        <w:rPr>
          <w:b w:val="false"/>
          <w:i w:val="false"/>
          <w:u w:val="none"/>
        </w:rPr>
        <w:t xml:space="preserve"> Общество с ограниченной ответственностью "РЕГИОН" (ИНН: 0278160590, КПП: 027601001, ОГРН: 1090280022777).</w:t>
      </w:r>
    </w:p>
    <w:p>
      <w:pPr>
        <w:pStyle w:val="text"/>
        <w:rPr/>
      </w:pPr>
      <w:r>
        <w:rPr/>
        <w:t>Место нахождения: 450053, Россия, Республика Башкортостан, г. Уфа, ул. Проспект Октября, д. 132/3, этаж 9.</w:t>
      </w:r>
    </w:p>
    <w:p>
      <w:pPr>
        <w:pStyle w:val="text"/>
        <w:rPr/>
      </w:pPr>
      <w:r>
        <w:rPr/>
        <w:t>Почтовый адрес: 450053, Россия, Республика Башкортостан, г. Уфа, ул. Проспект Октября, д. 132/3, этаж 9.</w:t>
      </w:r>
    </w:p>
    <w:p>
      <w:pPr>
        <w:pStyle w:val="text"/>
        <w:rPr/>
      </w:pPr>
      <w:r>
        <w:rPr/>
        <w:t>Техническая поддержка: тел.: 8 (800) 600 72 28, эл. почта: info@etp-region.ru</w:t>
      </w:r>
    </w:p>
    <w:p>
      <w:pPr>
        <w:pStyle w:val="variable"/>
        <w:rPr/>
      </w:pPr>
      <w:r>
        <w:rPr/>
        <w:t>Наименование закупки:</w:t>
      </w:r>
      <w:r>
        <w:rPr>
          <w:b w:val="false"/>
          <w:i w:val="false"/>
          <w:u w:val="none"/>
        </w:rPr>
        <w:t xml:space="preserve"> Услуга по обеспечению функционирования элементов СПИ ЦАСПИ в ГАПОУ ЛО "БАПТ"</w:t>
      </w:r>
    </w:p>
    <w:p>
      <w:pPr>
        <w:pStyle w:val="variable"/>
        <w:rPr/>
      </w:pPr>
      <w:r>
        <w:rPr/>
        <w:t>Предмет договора (лота):</w:t>
      </w:r>
      <w:r>
        <w:rPr>
          <w:b w:val="false"/>
          <w:i w:val="false"/>
          <w:u w:val="none"/>
        </w:rPr>
        <w:t xml:space="preserve"> Услуга по обеспечению функционирования элементов СПИ ЦАСПИ в ГАПОУ ЛО "БАПТ".</w:t>
      </w:r>
    </w:p>
    <w:p>
      <w:pPr>
        <w:pStyle w:val="Normal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>Классификация товаров, работ, услуг:</w:t>
      </w:r>
    </w:p>
    <w:tbl>
      <w:tblPr>
        <w:tblW w:w="9637" w:type="dxa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26"/>
        <w:gridCol w:w="2066"/>
        <w:gridCol w:w="1591"/>
        <w:gridCol w:w="1395"/>
        <w:gridCol w:w="2072"/>
        <w:gridCol w:w="2087"/>
      </w:tblGrid>
      <w:tr>
        <w:trPr/>
        <w:tc>
          <w:tcPr>
            <w:tcW w:w="426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 xml:space="preserve">№ </w:t>
            </w:r>
            <w:r>
              <w:rPr>
                <w:b/>
              </w:rPr>
              <w:t>п/п</w:t>
            </w:r>
          </w:p>
        </w:tc>
        <w:tc>
          <w:tcPr>
            <w:tcW w:w="2066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Наименование</w:t>
            </w:r>
          </w:p>
        </w:tc>
        <w:tc>
          <w:tcPr>
            <w:tcW w:w="1591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Количество (ед. измерения)</w:t>
            </w:r>
          </w:p>
        </w:tc>
        <w:tc>
          <w:tcPr>
            <w:tcW w:w="1395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Вид требования</w:t>
            </w:r>
          </w:p>
        </w:tc>
        <w:tc>
          <w:tcPr>
            <w:tcW w:w="2072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Код ОКПД 2</w:t>
            </w:r>
          </w:p>
        </w:tc>
        <w:tc>
          <w:tcPr>
            <w:tcW w:w="2087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Код ОКВЭД 2</w:t>
            </w:r>
          </w:p>
        </w:tc>
      </w:tr>
      <w:tr>
        <w:trPr/>
        <w:tc>
          <w:tcPr>
            <w:tcW w:w="426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1</w:t>
            </w:r>
          </w:p>
        </w:tc>
        <w:tc>
          <w:tcPr>
            <w:tcW w:w="2066" w:type="dxa"/>
            <w:tcBorders>
              <w:start w:val="single" w:sz="2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Услуги систем обеспечения безопасности</w:t>
            </w:r>
          </w:p>
        </w:tc>
        <w:tc>
          <w:tcPr>
            <w:tcW w:w="1591" w:type="dxa"/>
            <w:tcBorders>
              <w:start w:val="single" w:sz="2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12 (Месяц)</w:t>
            </w:r>
          </w:p>
        </w:tc>
        <w:tc>
          <w:tcPr>
            <w:tcW w:w="1395" w:type="dxa"/>
            <w:tcBorders>
              <w:start w:val="single" w:sz="2" w:space="0" w:color="000000"/>
              <w:bottom w:val="single" w:sz="6" w:space="0" w:color="000000"/>
            </w:tcBorders>
          </w:tcPr>
          <w:p>
            <w:pPr>
              <w:pStyle w:val="TableContents"/>
              <w:snapToGrid w:val="false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072" w:type="dxa"/>
            <w:tcBorders>
              <w:start w:val="single" w:sz="2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80.20.10.000: Услуги систем обеспечения безопасности</w:t>
            </w:r>
          </w:p>
        </w:tc>
        <w:tc>
          <w:tcPr>
            <w:tcW w:w="2087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80.20: Деятельность систем обеспечения безопасности</w:t>
            </w:r>
          </w:p>
        </w:tc>
      </w:tr>
    </w:tbl>
    <w:p>
      <w:pPr>
        <w:pStyle w:val="text"/>
        <w:rPr>
          <w:b w:val="false"/>
        </w:rPr>
      </w:pPr>
      <w:r>
        <w:rPr>
          <w:b w:val="false"/>
        </w:rPr>
      </w:r>
    </w:p>
    <w:p>
      <w:pPr>
        <w:pStyle w:val="variable"/>
        <w:rPr/>
      </w:pPr>
      <w:r>
        <w:rPr/>
        <w:t>Количество поставляемого товара, объем выполняемых работ, оказываемых услуг:</w:t>
      </w:r>
      <w:r>
        <w:rPr>
          <w:b w:val="false"/>
          <w:i w:val="false"/>
          <w:u w:val="none"/>
        </w:rPr>
        <w:t xml:space="preserve"> Услуги систем обеспечения безопасности: 12 Месяцев (2 объекта).</w:t>
      </w:r>
    </w:p>
    <w:p>
      <w:pPr>
        <w:pStyle w:val="variable"/>
        <w:rPr/>
      </w:pPr>
      <w:r>
        <w:rPr/>
        <w:t>Начальная (максимальная) цена договора (лота):</w:t>
      </w:r>
      <w:r>
        <w:rPr>
          <w:b w:val="false"/>
          <w:i w:val="false"/>
          <w:u w:val="none"/>
        </w:rPr>
        <w:t xml:space="preserve"> 245 359.92 руб.</w:t>
      </w:r>
    </w:p>
    <w:p>
      <w:pPr>
        <w:pStyle w:val="variable"/>
        <w:rPr/>
      </w:pPr>
      <w:r>
        <w:rPr/>
        <w:t>Срок предоставления документации о закупке:</w:t>
      </w:r>
      <w:r>
        <w:rPr>
          <w:b w:val="false"/>
          <w:i w:val="false"/>
          <w:u w:val="none"/>
        </w:rPr>
        <w:t xml:space="preserve"> с 5 декабря 2025 года по 15 декабря 2025 года.</w:t>
      </w:r>
    </w:p>
    <w:p>
      <w:pPr>
        <w:pStyle w:val="variable"/>
        <w:rPr/>
      </w:pPr>
      <w:r>
        <w:rPr/>
        <w:t>Место предоставления документации о закупке:</w:t>
      </w:r>
      <w:r>
        <w:rPr>
          <w:b w:val="false"/>
          <w:i w:val="false"/>
          <w:u w:val="none"/>
        </w:rPr>
        <w:t xml:space="preserve"> ЭТП РЕГИОН https://torgi.etp-region.ru.</w:t>
      </w:r>
    </w:p>
    <w:p>
      <w:pPr>
        <w:pStyle w:val="variable"/>
        <w:rPr/>
      </w:pPr>
      <w:r>
        <w:rPr/>
        <w:t>Порядок предоставления документации о закупке:</w:t>
      </w:r>
      <w:r>
        <w:rPr>
          <w:b w:val="false"/>
          <w:i w:val="false"/>
          <w:u w:val="none"/>
        </w:rPr>
        <w:t xml:space="preserve"> В электронной форме.</w:t>
      </w:r>
    </w:p>
    <w:p>
      <w:pPr>
        <w:pStyle w:val="variable"/>
        <w:rPr/>
      </w:pPr>
      <w:r>
        <w:rPr/>
        <w:t>Официальный сайт, на котором размещена документация о закупке:</w:t>
      </w:r>
      <w:r>
        <w:rPr>
          <w:b w:val="false"/>
          <w:i w:val="false"/>
          <w:u w:val="none"/>
        </w:rPr>
        <w:t xml:space="preserve"> https://torgi.etp-region.ru, http://zakupki.gov.ru.</w:t>
      </w:r>
    </w:p>
    <w:p>
      <w:pPr>
        <w:pStyle w:val="variable"/>
        <w:rPr/>
      </w:pPr>
      <w:r>
        <w:rPr/>
        <w:t>Размер, срок и порядок внесения платы за предоставление документации о закупке:</w:t>
      </w:r>
      <w:r>
        <w:rPr>
          <w:b w:val="false"/>
          <w:i w:val="false"/>
          <w:u w:val="none"/>
        </w:rPr>
        <w:t xml:space="preserve"> плата не установлена.</w:t>
      </w:r>
    </w:p>
    <w:p>
      <w:pPr>
        <w:pStyle w:val="variable"/>
        <w:rPr/>
      </w:pPr>
      <w:r>
        <w:rPr/>
        <w:t>Место подачи заявок:</w:t>
      </w:r>
      <w:r>
        <w:rPr>
          <w:b w:val="false"/>
          <w:i w:val="false"/>
          <w:u w:val="none"/>
        </w:rPr>
        <w:t xml:space="preserve"> ЭТП РЕГИОН https://torgi.etp-region.ru.</w:t>
      </w:r>
    </w:p>
    <w:p>
      <w:pPr>
        <w:pStyle w:val="variable"/>
        <w:rPr/>
      </w:pPr>
      <w:r>
        <w:rPr/>
        <w:t>Дата начала подачи заявок:</w:t>
      </w:r>
      <w:r>
        <w:rPr>
          <w:b w:val="false"/>
          <w:i w:val="false"/>
          <w:u w:val="none"/>
        </w:rPr>
        <w:t xml:space="preserve"> 5 декабря 2025 года.</w:t>
      </w:r>
    </w:p>
    <w:p>
      <w:pPr>
        <w:pStyle w:val="variable"/>
        <w:rPr/>
      </w:pPr>
      <w:r>
        <w:rPr/>
        <w:t>Дата и время окончания подачи заявок:</w:t>
      </w:r>
      <w:r>
        <w:rPr>
          <w:b w:val="false"/>
          <w:i w:val="false"/>
          <w:u w:val="none"/>
        </w:rPr>
        <w:t xml:space="preserve"> 15 декабря 2025 года в 09:59 MCK.</w:t>
      </w:r>
    </w:p>
    <w:p>
      <w:pPr>
        <w:pStyle w:val="variable"/>
        <w:rPr/>
      </w:pPr>
      <w:r>
        <w:rPr/>
        <w:t>Место, дата и время рассмотрения заявок:</w:t>
      </w:r>
      <w:r>
        <w:rPr>
          <w:b w:val="false"/>
          <w:i w:val="false"/>
          <w:u w:val="none"/>
        </w:rPr>
        <w:t xml:space="preserve"> 187643, Ленинградская область, Бокситогорский район, деревня Бор, 15 декабря 2025 года в 10:15 MCK.</w:t>
      </w:r>
    </w:p>
    <w:p>
      <w:pPr>
        <w:pStyle w:val="variable"/>
        <w:rPr/>
      </w:pPr>
      <w:r>
        <w:rPr/>
        <w:t>Место, дата и время подведения итогов закупки:</w:t>
      </w:r>
      <w:r>
        <w:rPr>
          <w:b w:val="false"/>
          <w:i w:val="false"/>
          <w:u w:val="none"/>
        </w:rPr>
        <w:t xml:space="preserve"> 187643, Ленинградская область, Бокситогорский район, деревня Бор, 15 декабря 2025 года в 10:15 MCK.</w:t>
      </w:r>
    </w:p>
    <w:p>
      <w:pPr>
        <w:pStyle w:val="text"/>
        <w:rPr/>
      </w:pPr>
      <w:r>
        <w:rPr/>
      </w:r>
    </w:p>
    <w:p>
      <w:pPr>
        <w:pStyle w:val="centered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II. Сведения о результатах рассмотрения заявок</w:t>
      </w:r>
    </w:p>
    <w:p>
      <w:pPr>
        <w:pStyle w:val="Normal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 xml:space="preserve">Сведения об участниках, подавших заявки на участие в закупке: </w:t>
      </w:r>
    </w:p>
    <w:tbl>
      <w:tblPr>
        <w:tblW w:w="9636" w:type="dxa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893"/>
        <w:gridCol w:w="3827"/>
        <w:gridCol w:w="1916"/>
      </w:tblGrid>
      <w:tr>
        <w:trPr/>
        <w:tc>
          <w:tcPr>
            <w:tcW w:w="3893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Дата и время регистрации заявки</w:t>
            </w:r>
          </w:p>
        </w:tc>
        <w:tc>
          <w:tcPr>
            <w:tcW w:w="3827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Номер заявки участника закупки</w:t>
            </w:r>
          </w:p>
        </w:tc>
        <w:tc>
          <w:tcPr>
            <w:tcW w:w="1916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Почтовый адрес</w:t>
            </w:r>
          </w:p>
        </w:tc>
      </w:tr>
      <w:tr>
        <w:trPr/>
        <w:tc>
          <w:tcPr>
            <w:tcW w:w="3893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14.12.2025 23:04:19 MCK</w:t>
            </w:r>
          </w:p>
        </w:tc>
        <w:tc>
          <w:tcPr>
            <w:tcW w:w="3827" w:type="dxa"/>
            <w:tcBorders>
              <w:start w:val="single" w:sz="2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Заявка №70409</w:t>
            </w:r>
          </w:p>
        </w:tc>
        <w:tc>
          <w:tcPr>
            <w:tcW w:w="1916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-</w:t>
            </w:r>
          </w:p>
        </w:tc>
      </w:tr>
    </w:tbl>
    <w:p>
      <w:pPr>
        <w:pStyle w:val="tex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 xml:space="preserve">Сведения об участниках, допущенных к участию в закупке: </w:t>
      </w:r>
    </w:p>
    <w:tbl>
      <w:tblPr>
        <w:tblW w:w="9636" w:type="dxa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6429"/>
        <w:gridCol w:w="3207"/>
      </w:tblGrid>
      <w:tr>
        <w:trPr/>
        <w:tc>
          <w:tcPr>
            <w:tcW w:w="6429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Номер заявки участника закупки</w:t>
            </w:r>
          </w:p>
        </w:tc>
        <w:tc>
          <w:tcPr>
            <w:tcW w:w="3207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Почтовый адрес</w:t>
            </w:r>
          </w:p>
        </w:tc>
      </w:tr>
      <w:tr>
        <w:trPr/>
        <w:tc>
          <w:tcPr>
            <w:tcW w:w="6429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Заявка №70409</w:t>
            </w:r>
          </w:p>
        </w:tc>
        <w:tc>
          <w:tcPr>
            <w:tcW w:w="3207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-</w:t>
            </w:r>
          </w:p>
        </w:tc>
      </w:tr>
    </w:tbl>
    <w:p>
      <w:pPr>
        <w:pStyle w:val="tex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variable"/>
        <w:rPr/>
      </w:pPr>
      <w:r>
        <w:rPr/>
        <w:t>Сведения об участниках, которым отказано в допуске к участию в закупке с указанием причин отклонения:</w:t>
      </w:r>
      <w:r>
        <w:rPr>
          <w:b w:val="false"/>
          <w:i w:val="false"/>
          <w:u w:val="none"/>
        </w:rPr>
        <w:t xml:space="preserve"> отклоненные заявки отсутствуют.</w:t>
      </w:r>
    </w:p>
    <w:p>
      <w:pPr>
        <w:pStyle w:val="text"/>
        <w:rPr/>
      </w:pPr>
      <w:r>
        <w:rPr/>
      </w:r>
    </w:p>
    <w:p>
      <w:pPr>
        <w:pStyle w:val="text"/>
        <w:rPr/>
      </w:pPr>
      <w:r>
        <w:rPr/>
      </w:r>
    </w:p>
    <w:p>
      <w:pPr>
        <w:pStyle w:val="centered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III. Сведения о результатах подведения итогов закупки</w:t>
      </w:r>
    </w:p>
    <w:p>
      <w:pPr>
        <w:pStyle w:val="variable"/>
        <w:rPr/>
      </w:pPr>
      <w:r>
        <w:rPr/>
        <w:t>Сведения о принятом на основании подведения итогов закупки решении о присвоении участникам закупки следующих порядковых номеров (по мере уменьшения степени выгодности содержащихся в них условий исполнения договора):</w:t>
      </w:r>
      <w:r>
        <w:rPr>
          <w:b w:val="false"/>
          <w:i w:val="false"/>
          <w:u w:val="none"/>
        </w:rPr>
        <w:t xml:space="preserve"> допущен и признан участником закупки единственный участник закупки.</w:t>
      </w:r>
    </w:p>
    <w:p>
      <w:pPr>
        <w:pStyle w:val="text"/>
        <w:rPr/>
      </w:pPr>
      <w:r>
        <w:rPr/>
      </w:r>
    </w:p>
    <w:p>
      <w:pPr>
        <w:pStyle w:val="Normal"/>
        <w:rPr>
          <w:b/>
        </w:rPr>
      </w:pPr>
      <w:r>
        <w:rPr>
          <w:b/>
        </w:rPr>
        <w:t>Сведения об участниках закупки, которым присвоены первый и второй порядковые номера:</w:t>
      </w:r>
    </w:p>
    <w:tbl>
      <w:tblPr>
        <w:tblW w:w="9637" w:type="dxa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5311"/>
        <w:gridCol w:w="4326"/>
      </w:tblGrid>
      <w:tr>
        <w:trPr/>
        <w:tc>
          <w:tcPr>
            <w:tcW w:w="5311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Участник, которому присвоен первый порядковый номер (победитель)</w:t>
            </w:r>
          </w:p>
        </w:tc>
        <w:tc>
          <w:tcPr>
            <w:tcW w:w="4326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Участник, которому присвоен второй порядковый номер</w:t>
            </w:r>
          </w:p>
        </w:tc>
      </w:tr>
      <w:tr>
        <w:trPr/>
        <w:tc>
          <w:tcPr>
            <w:tcW w:w="5311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Заявка №70409, - 14.12.2025 23:04 MCK</w:t>
              <w:br/>
            </w:r>
            <w:r>
              <w:rPr>
                <w:u w:val="single"/>
              </w:rPr>
              <w:t>Предложение о цене договора (лота):</w:t>
            </w:r>
            <w:r>
              <w:rPr/>
              <w:br/>
              <w:t>240 000.00 руб.</w:t>
            </w:r>
          </w:p>
        </w:tc>
        <w:tc>
          <w:tcPr>
            <w:tcW w:w="4326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отсутствует</w:t>
            </w:r>
          </w:p>
        </w:tc>
      </w:tr>
    </w:tbl>
    <w:p>
      <w:pPr>
        <w:pStyle w:val="text"/>
        <w:rPr>
          <w:b w:val="false"/>
        </w:rPr>
      </w:pPr>
      <w:r>
        <w:rPr>
          <w:b w:val="false"/>
        </w:rPr>
      </w:r>
    </w:p>
    <w:p>
      <w:pPr>
        <w:pStyle w:val="centered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IV. Сведения о признании закупки несостоявшейся</w:t>
      </w:r>
    </w:p>
    <w:p>
      <w:pPr>
        <w:pStyle w:val="text"/>
        <w:rPr/>
      </w:pPr>
      <w:r>
        <w:rPr/>
        <w:t>Конкурентная закупка признана несостоявшейся в связи с тем, что на участие в закупке подана только одна заявка</w:t>
      </w:r>
    </w:p>
    <w:p>
      <w:pPr>
        <w:pStyle w:val="text"/>
        <w:rPr/>
      </w:pPr>
      <w:r>
        <w:rPr/>
      </w:r>
    </w:p>
    <w:p>
      <w:pPr>
        <w:pStyle w:val="Normal"/>
        <w:rPr>
          <w:b/>
        </w:rPr>
      </w:pPr>
      <w:r>
        <w:rPr>
          <w:b/>
        </w:rPr>
        <w:t>Состав комиссии:</w:t>
      </w:r>
    </w:p>
    <w:tbl>
      <w:tblPr>
        <w:tblW w:w="9637" w:type="dxa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905"/>
        <w:gridCol w:w="4971"/>
        <w:gridCol w:w="1761"/>
      </w:tblGrid>
      <w:tr>
        <w:trPr/>
        <w:tc>
          <w:tcPr>
            <w:tcW w:w="9637" w:type="dxa"/>
            <w:gridSpan w:val="3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Комиссия</w:t>
            </w:r>
          </w:p>
        </w:tc>
      </w:tr>
      <w:tr>
        <w:trPr/>
        <w:tc>
          <w:tcPr>
            <w:tcW w:w="2905" w:type="dxa"/>
            <w:tcBorders>
              <w:start w:val="single" w:sz="6" w:space="0" w:color="000000"/>
              <w:bottom w:val="single" w:sz="2" w:space="0" w:color="000000"/>
            </w:tcBorders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Роль в комиссии</w:t>
            </w:r>
          </w:p>
        </w:tc>
        <w:tc>
          <w:tcPr>
            <w:tcW w:w="4971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Ф.И.О.</w:t>
            </w:r>
          </w:p>
        </w:tc>
        <w:tc>
          <w:tcPr>
            <w:tcW w:w="176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Подпись</w:t>
            </w:r>
          </w:p>
        </w:tc>
      </w:tr>
      <w:tr>
        <w:trPr/>
        <w:tc>
          <w:tcPr>
            <w:tcW w:w="2905" w:type="dxa"/>
            <w:tcBorders>
              <w:start w:val="single" w:sz="6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Председатель комиссии</w:t>
            </w:r>
          </w:p>
        </w:tc>
        <w:tc>
          <w:tcPr>
            <w:tcW w:w="4971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Кобзев Николай Николаевич</w:t>
            </w:r>
          </w:p>
        </w:tc>
        <w:tc>
          <w:tcPr>
            <w:tcW w:w="176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905" w:type="dxa"/>
            <w:tcBorders>
              <w:start w:val="single" w:sz="6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Член комиссии</w:t>
            </w:r>
          </w:p>
        </w:tc>
        <w:tc>
          <w:tcPr>
            <w:tcW w:w="4971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Белова Елена Николаевна</w:t>
            </w:r>
          </w:p>
        </w:tc>
        <w:tc>
          <w:tcPr>
            <w:tcW w:w="176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905" w:type="dxa"/>
            <w:tcBorders>
              <w:start w:val="single" w:sz="6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Член комиссии</w:t>
            </w:r>
          </w:p>
        </w:tc>
        <w:tc>
          <w:tcPr>
            <w:tcW w:w="4971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Власова Оксана Леонидовна</w:t>
            </w:r>
          </w:p>
        </w:tc>
        <w:tc>
          <w:tcPr>
            <w:tcW w:w="176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905" w:type="dxa"/>
            <w:tcBorders>
              <w:start w:val="single" w:sz="6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Член комиссии</w:t>
            </w:r>
          </w:p>
        </w:tc>
        <w:tc>
          <w:tcPr>
            <w:tcW w:w="4971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Сухарева Виктория Ивановна</w:t>
            </w:r>
          </w:p>
        </w:tc>
        <w:tc>
          <w:tcPr>
            <w:tcW w:w="176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905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Член комиссии</w:t>
            </w:r>
          </w:p>
        </w:tc>
        <w:tc>
          <w:tcPr>
            <w:tcW w:w="4971" w:type="dxa"/>
            <w:tcBorders>
              <w:start w:val="single" w:sz="2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Хазова Светлана Николаевна</w:t>
            </w:r>
          </w:p>
        </w:tc>
        <w:tc>
          <w:tcPr>
            <w:tcW w:w="1761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 </w:t>
            </w:r>
          </w:p>
        </w:tc>
      </w:tr>
    </w:tbl>
    <w:p>
      <w:pPr>
        <w:pStyle w:val="text"/>
        <w:rPr>
          <w:b w:val="false"/>
        </w:rPr>
      </w:pPr>
      <w:r>
        <w:rPr>
          <w:b w:val="false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variable"/>
  </w:font>
  <w:font w:name="Arial">
    <w:charset w:val="01"/>
    <w:family w:val="swiss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val="bestFit" w:percent="20"/>
  <w:defaultTabStop w:val="709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kinsoku w:val="true"/>
      <w:overflowPunct w:val="true"/>
      <w:autoSpaceDE w:val="true"/>
      <w:bidi w:val="0"/>
    </w:pPr>
    <w:rPr>
      <w:rFonts w:ascii="Times New Roman" w:hAnsi="Times New Roman" w:eastAsia="Lucida Sans Unicode" w:cs="Tahoma"/>
      <w:color w:val="auto"/>
      <w:kern w:val="2"/>
      <w:sz w:val="24"/>
      <w:szCs w:val="24"/>
      <w:lang w:val="ru-RU" w:eastAsia="ru-RU" w:bidi="ru-RU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outlineLvl w:val="0"/>
    </w:pPr>
    <w:rPr>
      <w:b/>
      <w:bCs/>
      <w:sz w:val="32"/>
      <w:szCs w:val="32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outlineLvl w:val="1"/>
    </w:pPr>
    <w:rPr>
      <w:b/>
      <w:bCs/>
      <w:i/>
      <w:iCs/>
      <w:sz w:val="28"/>
      <w:szCs w:val="28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outlineLvl w:val="2"/>
    </w:pPr>
    <w:rPr>
      <w:b/>
      <w:bCs/>
      <w:sz w:val="28"/>
      <w:szCs w:val="28"/>
    </w:rPr>
  </w:style>
  <w:style w:type="character" w:styleId="NumberingSymbols">
    <w:name w:val="Numbering Symbols"/>
    <w:qFormat/>
    <w:rPr/>
  </w:style>
  <w:style w:type="character" w:styleId="FootnoteCharacters">
    <w:name w:val="Footnote Characters"/>
    <w:qFormat/>
    <w:rPr/>
  </w:style>
  <w:style w:type="character" w:styleId="EndnoteCharacters">
    <w:name w:val="Endnote Characters"/>
    <w:qFormat/>
    <w:rPr/>
  </w:style>
  <w:style w:type="character" w:styleId="Hyperlink">
    <w:name w:val="Hyperlink"/>
    <w:rPr>
      <w:color w:val="000080"/>
      <w:u w:val="single"/>
      <w:lang w:val="zxx" w:eastAsia="zxx" w:bidi="zxx"/>
    </w:rPr>
  </w:style>
  <w:style w:type="character" w:styleId="FollowedHyperlink">
    <w:name w:val="FollowedHyperlink"/>
    <w:rPr>
      <w:color w:val="800000"/>
      <w:u w:val="single"/>
      <w:lang w:val="zxx" w:eastAsia="zxx" w:bidi="zxx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ascii="Arial" w:hAnsi="Arial"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Tahoma"/>
      <w:i/>
      <w:iCs/>
      <w:sz w:val="20"/>
      <w:szCs w:val="24"/>
    </w:rPr>
  </w:style>
  <w:style w:type="paragraph" w:styleId="Index">
    <w:name w:val="Index"/>
    <w:basedOn w:val="Normal"/>
    <w:qFormat/>
    <w:pPr>
      <w:suppressLineNumbers/>
    </w:pPr>
    <w:rPr>
      <w:rFonts w:ascii="Arial" w:hAnsi="Arial" w:cs="Tahoma"/>
    </w:rPr>
  </w:style>
  <w:style w:type="paragraph" w:styleId="BodyTextFirstIndent">
    <w:name w:val="Body Text First Indent"/>
    <w:basedOn w:val="BodyText"/>
    <w:pPr>
      <w:ind w:firstLine="283" w:start="0" w:end="0"/>
    </w:pPr>
    <w:rPr/>
  </w:style>
  <w:style w:type="paragraph" w:styleId="WW-Heading">
    <w:name w:val="WW-Heading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DejaVu Sans" w:cs="DejaVu Sans"/>
      <w:sz w:val="28"/>
      <w:szCs w:val="28"/>
    </w:rPr>
  </w:style>
  <w:style w:type="paragraph" w:styleId="Subtitle">
    <w:name w:val="Subtitle"/>
    <w:basedOn w:val="Heading"/>
    <w:next w:val="BodyText"/>
    <w:qFormat/>
    <w:pPr>
      <w:jc w:val="center"/>
    </w:pPr>
    <w:rPr>
      <w:i/>
      <w:iCs/>
      <w:sz w:val="28"/>
      <w:szCs w:val="28"/>
    </w:rPr>
  </w:style>
  <w:style w:type="paragraph" w:styleId="Bibliography1">
    <w:name w:val="Bibliography 1"/>
    <w:basedOn w:val="Index"/>
    <w:qFormat/>
    <w:pPr>
      <w:tabs>
        <w:tab w:val="clear" w:pos="709"/>
        <w:tab w:val="right" w:pos="9637" w:leader="dot"/>
      </w:tabs>
      <w:ind w:hanging="0" w:start="0" w:end="0"/>
    </w:pPr>
    <w:rPr/>
  </w:style>
  <w:style w:type="paragraph" w:styleId="publication">
    <w:name w:val="publication"/>
    <w:basedOn w:val="Normal"/>
    <w:next w:val="text"/>
    <w:qFormat/>
    <w:pPr>
      <w:pBdr/>
      <w:spacing w:lineRule="auto" w:line="240"/>
    </w:pPr>
    <w:rPr>
      <w:rFonts w:ascii="Arial" w:hAnsi="Arial" w:cs="Arial"/>
      <w:b w:val="false"/>
      <w:color w:val="FFFFFF"/>
      <w:sz w:val="22"/>
      <w:highlight w:val="black"/>
    </w:rPr>
  </w:style>
  <w:style w:type="paragraph" w:styleId="text">
    <w:name w:val="text"/>
    <w:qFormat/>
    <w:pPr>
      <w:widowControl w:val="false"/>
      <w:suppressAutoHyphens w:val="true"/>
      <w:kinsoku w:val="true"/>
      <w:overflowPunct w:val="true"/>
      <w:autoSpaceDE w:val="true"/>
      <w:bidi w:val="0"/>
      <w:spacing w:lineRule="auto" w:line="240"/>
    </w:pPr>
    <w:rPr>
      <w:rFonts w:ascii="Times New Roman" w:hAnsi="Times New Roman" w:eastAsia="Lucida Sans Unicode" w:cs="Tahoma"/>
      <w:color w:val="auto"/>
      <w:kern w:val="2"/>
      <w:sz w:val="24"/>
      <w:szCs w:val="24"/>
      <w:lang w:val="ru-RU" w:eastAsia="ru-RU" w:bidi="ru-RU"/>
    </w:rPr>
  </w:style>
  <w:style w:type="paragraph" w:styleId="layout0">
    <w:name w:val="layout0"/>
    <w:basedOn w:val="Heading1"/>
    <w:next w:val="text"/>
    <w:qFormat/>
    <w:pPr>
      <w:numPr>
        <w:ilvl w:val="0"/>
        <w:numId w:val="0"/>
      </w:numPr>
      <w:ind w:hanging="0" w:start="0" w:end="0"/>
      <w:outlineLvl w:val="9"/>
    </w:pPr>
    <w:rPr>
      <w:b/>
      <w:sz w:val="32"/>
    </w:rPr>
  </w:style>
  <w:style w:type="paragraph" w:styleId="layout1">
    <w:name w:val="layout1"/>
    <w:basedOn w:val="Heading2"/>
    <w:next w:val="text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layout2">
    <w:name w:val="layout2"/>
    <w:basedOn w:val="Heading3"/>
    <w:next w:val="text"/>
    <w:qFormat/>
    <w:pPr>
      <w:numPr>
        <w:ilvl w:val="0"/>
        <w:numId w:val="0"/>
      </w:numPr>
      <w:ind w:hanging="0" w:start="0" w:end="0"/>
      <w:outlineLvl w:val="9"/>
    </w:pPr>
    <w:rPr>
      <w:sz w:val="26"/>
    </w:rPr>
  </w:style>
  <w:style w:type="paragraph" w:styleId="messagecaption">
    <w:name w:val="messagecaption"/>
    <w:basedOn w:val="text"/>
    <w:next w:val="text"/>
    <w:qFormat/>
    <w:pPr>
      <w:spacing w:lineRule="atLeast" w:line="0"/>
      <w:jc w:val="center"/>
    </w:pPr>
    <w:rPr>
      <w:b/>
      <w:caps/>
    </w:rPr>
  </w:style>
  <w:style w:type="paragraph" w:styleId="messagesubcaption">
    <w:name w:val="messagesubcaption"/>
    <w:basedOn w:val="text"/>
    <w:next w:val="text"/>
    <w:qFormat/>
    <w:pPr>
      <w:jc w:val="center"/>
    </w:pPr>
    <w:rPr>
      <w:b w:val="false"/>
      <w:caps w:val="false"/>
      <w:smallCaps w:val="false"/>
    </w:rPr>
  </w:style>
  <w:style w:type="paragraph" w:styleId="print">
    <w:name w:val="print"/>
    <w:basedOn w:val="Heading1"/>
    <w:next w:val="text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printChapter">
    <w:name w:val="printChapter"/>
    <w:basedOn w:val="Heading2"/>
    <w:next w:val="text"/>
    <w:qFormat/>
    <w:pPr>
      <w:numPr>
        <w:ilvl w:val="0"/>
        <w:numId w:val="0"/>
      </w:numPr>
      <w:ind w:hanging="0" w:start="0" w:end="0"/>
      <w:outlineLvl w:val="9"/>
    </w:pPr>
    <w:rPr>
      <w:sz w:val="28"/>
    </w:rPr>
  </w:style>
  <w:style w:type="paragraph" w:styleId="printSubChapter">
    <w:name w:val="printSubChapter"/>
    <w:basedOn w:val="Heading3"/>
    <w:next w:val="text"/>
    <w:qFormat/>
    <w:pPr>
      <w:numPr>
        <w:ilvl w:val="0"/>
        <w:numId w:val="0"/>
      </w:numPr>
      <w:ind w:hanging="0" w:start="0" w:end="0"/>
      <w:outlineLvl w:val="9"/>
    </w:pPr>
    <w:rPr>
      <w:sz w:val="26"/>
    </w:rPr>
  </w:style>
  <w:style w:type="paragraph" w:styleId="variable">
    <w:name w:val="variable"/>
    <w:basedOn w:val="text"/>
    <w:next w:val="text"/>
    <w:qFormat/>
    <w:pPr/>
    <w:rPr>
      <w:b/>
    </w:rPr>
  </w:style>
  <w:style w:type="paragraph" w:styleId="Text1">
    <w:name w:val="Text1"/>
    <w:basedOn w:val="Caption"/>
    <w:qFormat/>
    <w:pPr/>
    <w:rPr/>
  </w:style>
  <w:style w:type="paragraph" w:styleId="centered">
    <w:name w:val="centered"/>
    <w:basedOn w:val="text"/>
    <w:next w:val="text"/>
    <w:qFormat/>
    <w:pPr>
      <w:jc w:val="center"/>
    </w:pPr>
    <w:rPr/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ListContents">
    <w:name w:val="List Contents"/>
    <w:basedOn w:val="Normal"/>
    <w:qFormat/>
    <w:pPr>
      <w:ind w:hanging="0" w:start="567" w:end="0"/>
    </w:pPr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2025-12-15T07:16:19Z</dcterms:created>
  <dc:creator/>
  <dc:description/>
  <dc:language>en-US</dc:language>
  <cp:lastModifiedBy/>
  <dcterms:modified xsi:type="dcterms:W3CDTF">2025-12-15T07:16:19Z</dcterms:modified>
  <cp:revision>2</cp:revision>
  <dc:subject/>
  <dc:title/>
</cp:coreProperties>
</file>