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gif" ContentType="image/gif"> </Default>
  <Default Extension="jpg" ContentType="image/jpg"> </Default>
  <Default Extension="png" ContentType="image/png"> </Default>
  <Default Extension="jpeg" ContentType="image/jpeg"> </Default>
  <Default Extension="bmp" ContentType="image/bmp"> </Default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widowControl w:val="on"/>
        <w:pBdr/>
        <w:spacing w:before="0" w:after="0" w:line="240" w:lineRule="auto"/>
        <w:ind w:left="0" w:right="0"/>
        <w:jc w:val="center"/>
        <w:textDirection w:val="lrTb"/>
      </w:pPr>
      <w:r>
        <w:rPr>
          <w:b/>
          <w:bCs/>
          <w:color w:val="000000"/>
          <w:sz w:val="24"/>
          <w:szCs w:val="24"/>
        </w:rPr>
        <w:t xml:space="preserve">Протокол подведения итогов запроса котировок № 32514534596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color w:val="000000"/>
          <w:sz w:val="24"/>
          <w:szCs w:val="24"/>
        </w:rPr>
        <w:t xml:space="preserve"> 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color w:val="000000"/>
          <w:sz w:val="24"/>
          <w:szCs w:val="24"/>
        </w:rPr>
        <w:t xml:space="preserve">Номер закупки: 32514534596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color w:val="000000"/>
          <w:sz w:val="24"/>
          <w:szCs w:val="24"/>
        </w:rPr>
        <w:t xml:space="preserve"> </w:t>
      </w:r>
    </w:p>
    <w:tbl>
      <w:tblPr>
        <w:tblStyle w:val="NormalTablePHPDOCX"/>
        <w:tblCellMar>
          <w:left w:type="dxa" w:w="0"/>
          <w:right w:type="dxa" w:w="0"/>
        </w:tblCellMar>
        <w:tblW w:w="5000" w:type="pct"/>
        <w:tblInd w:w="0" w:type="auto"/>
        <w:tblBorders/>
        <w:tblLayout w:type="fixed"/>
      </w:tblPr>
      <w:tblGrid>
        <w:gridCol w:w="1"/>
        <w:gridCol w:w="1"/>
      </w:tblGrid>
      <w:tr>
        <w:trPr>
          <w:trHeight w:val="0" w:hRule="atLeast"/>
        </w:trPr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  <w:textDirection w:val="lrTb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ЭТП ТЭК-Торг</w:t>
            </w:r>
          </w:p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  <w:textDirection w:val="lrTb"/>
              <w:textAlignment w:val="center"/>
            </w:pPr>
          </w:p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
(</w:t>
            </w:r>
            <w:hyperlink r:id="rId314467c52d456d942" w:history="1">
              <w:r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 w:color=""/>
                </w:rPr>
                <w:t xml:space="preserve">https://www.tektorg.ru</w:t>
              </w:r>
            </w:hyperlink>
            <w:r>
              <w:rPr>
                <w:color w:val="000000"/>
                <w:position w:val="-3"/>
                <w:sz w:val="24"/>
                <w:szCs w:val="24"/>
              </w:rPr>
              <w:t xml:space="preserve">)  </w:t>
            </w:r>
          </w:p>
        </w:tc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right"/>
              <w:textDirection w:val="lrTb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03.03.2025 г.</w:t>
            </w:r>
          </w:p>
          <w:p>
            <w:pPr>
              <w:widowControl w:val="on"/>
              <w:pBdr/>
              <w:spacing w:before="0" w:after="0" w:line="240" w:lineRule="auto"/>
              <w:ind w:left="0" w:right="0"/>
              <w:jc w:val="righ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
 </w:t>
            </w:r>
          </w:p>
        </w:tc>
      </w:tr>
    </w:tbl>
    <w:p>
      <w:pPr>
        <w:widowControl w:val="on"/>
        <w:pBdr/>
        <w:spacing w:before="120" w:after="120" w:line="240" w:lineRule="auto"/>
        <w:ind w:left="255" w:right="0" w:firstLine="-240"/>
        <w:jc w:val="left"/>
        <w:textDirection w:val="lrTb"/>
      </w:pPr>
      <w:r>
        <w:rPr>
          <w:color w:val="000000"/>
          <w:sz w:val="24"/>
          <w:szCs w:val="24"/>
        </w:rPr>
        <w:t xml:space="preserve"> </w:t>
      </w:r>
    </w:p>
    <w:p>
      <w:pPr>
        <w:widowControl w:val="on"/>
        <w:pBdr/>
        <w:spacing w:before="120" w:after="120" w:line="240" w:lineRule="auto"/>
        <w:ind w:left="255" w:right="0" w:firstLine="-240"/>
        <w:jc w:val="left"/>
        <w:textDirection w:val="lrTb"/>
      </w:pPr>
      <w:r>
        <w:rPr>
          <w:color w:val="000000"/>
          <w:sz w:val="24"/>
          <w:szCs w:val="24"/>
        </w:rPr>
        <w:t xml:space="preserve">1. Организатор закупки: ГОСУДАРСТВЕННОЕ БЮДЖЕТНОЕ УЧРЕЖДЕНИЕ ПЕРМСКОГО КРАЯ "ОЗЕРСКИЙ ЦЕНТР СОЦИАЛЬНОГО ОБСЛУЖИВАНИЯ"</w:t>
      </w:r>
    </w:p>
    <w:p>
      <w:pPr>
        <w:widowControl w:val="on"/>
        <w:pBdr/>
        <w:spacing w:before="120" w:after="120" w:line="240" w:lineRule="auto"/>
        <w:ind w:left="255" w:right="0" w:firstLine="-240"/>
        <w:jc w:val="left"/>
        <w:textDirection w:val="lrTb"/>
      </w:pPr>
      <w:r>
        <w:rPr>
          <w:color w:val="000000"/>
          <w:sz w:val="24"/>
          <w:szCs w:val="24"/>
        </w:rPr>
        <w:t xml:space="preserve">2. Контактное лицо: Левченко С. В., 8-342-5820817, </w:t>
      </w:r>
      <w:hyperlink r:id="rId606967c52d456dac8" w:history="1">
        <w:r>
          <w:rPr>
            <w:rStyle w:val="DefaultParagraphFontPHPDOCX"/>
            <w:color w:val="0000CC"/>
            <w:sz w:val="24"/>
            <w:szCs w:val="24"/>
            <w:u w:val="single" w:color=""/>
          </w:rPr>
          <w:t xml:space="preserve">zakupki.opni@mail.ru</w:t>
        </w:r>
      </w:hyperlink>
    </w:p>
    <w:p>
      <w:pPr>
        <w:widowControl w:val="on"/>
        <w:pBdr/>
        <w:spacing w:before="120" w:after="120" w:line="240" w:lineRule="auto"/>
        <w:ind w:left="255" w:right="0" w:firstLine="-240"/>
        <w:jc w:val="left"/>
        <w:textDirection w:val="lrTb"/>
      </w:pPr>
      <w:r>
        <w:rPr>
          <w:color w:val="000000"/>
          <w:sz w:val="24"/>
          <w:szCs w:val="24"/>
        </w:rPr>
        <w:t xml:space="preserve">3. Наименование закупки: Поставка товара</w:t>
      </w:r>
    </w:p>
    <w:p>
      <w:pPr>
        <w:widowControl w:val="on"/>
        <w:pBdr/>
        <w:spacing w:before="120" w:after="120" w:line="240" w:lineRule="auto"/>
        <w:ind w:left="255" w:right="0" w:firstLine="-240"/>
        <w:jc w:val="left"/>
        <w:textDirection w:val="lrTb"/>
      </w:pPr>
      <w:r>
        <w:rPr>
          <w:color w:val="000000"/>
          <w:sz w:val="24"/>
          <w:szCs w:val="24"/>
        </w:rPr>
        <w:t xml:space="preserve">4. Срок предоставления документации: c 20.02.2025 по 28.02.2025</w:t>
      </w:r>
    </w:p>
    <w:p>
      <w:pPr>
        <w:widowControl w:val="on"/>
        <w:pBdr/>
        <w:spacing w:before="120" w:after="120" w:line="240" w:lineRule="auto"/>
        <w:ind w:left="255" w:right="0" w:firstLine="-240"/>
        <w:jc w:val="left"/>
        <w:textDirection w:val="lrTb"/>
      </w:pPr>
      <w:r>
        <w:rPr>
          <w:color w:val="000000"/>
          <w:sz w:val="24"/>
          <w:szCs w:val="24"/>
        </w:rPr>
        <w:t xml:space="preserve">5. Дата начала подачи заявок: 20.02.2025</w:t>
      </w:r>
    </w:p>
    <w:p>
      <w:pPr>
        <w:widowControl w:val="on"/>
        <w:pBdr/>
        <w:spacing w:before="120" w:after="120" w:line="240" w:lineRule="auto"/>
        <w:ind w:left="255" w:right="0" w:firstLine="-240"/>
        <w:jc w:val="left"/>
        <w:textDirection w:val="lrTb"/>
      </w:pPr>
      <w:r>
        <w:rPr>
          <w:color w:val="000000"/>
          <w:sz w:val="24"/>
          <w:szCs w:val="24"/>
        </w:rPr>
        <w:t xml:space="preserve">6. Дата и время окончания подачи заявок: 28.02.2025 (по московскому времени)</w:t>
      </w:r>
    </w:p>
    <w:p>
      <w:pPr>
        <w:widowControl w:val="on"/>
        <w:pBdr/>
        <w:spacing w:before="120" w:after="120" w:line="240" w:lineRule="auto"/>
        <w:ind w:left="255" w:right="0" w:firstLine="-240"/>
        <w:jc w:val="left"/>
        <w:textDirection w:val="lrTb"/>
      </w:pPr>
      <w:r>
        <w:rPr>
          <w:color w:val="000000"/>
          <w:sz w:val="24"/>
          <w:szCs w:val="24"/>
        </w:rPr>
        <w:t xml:space="preserve">7. Дата подведения итогов: 04.03.2025</w:t>
      </w:r>
    </w:p>
    <w:p>
      <w:pPr>
        <w:widowControl w:val="on"/>
        <w:pBdr/>
        <w:spacing w:before="120" w:after="120" w:line="240" w:lineRule="auto"/>
        <w:ind w:left="255" w:right="0" w:firstLine="-240"/>
        <w:jc w:val="left"/>
        <w:textDirection w:val="lrTb"/>
      </w:pPr>
      <w:r>
        <w:rPr>
          <w:color w:val="000000"/>
          <w:sz w:val="24"/>
          <w:szCs w:val="24"/>
        </w:rPr>
        <w:t xml:space="preserve">8. Место подведения итогов:</w:t>
      </w:r>
    </w:p>
    <w:p>
      <w:pPr>
        <w:widowControl w:val="on"/>
        <w:pBdr/>
        <w:spacing w:before="120" w:after="120" w:line="240" w:lineRule="auto"/>
        <w:ind w:left="255" w:right="0" w:firstLine="-240"/>
        <w:jc w:val="left"/>
        <w:textDirection w:val="lrTb"/>
      </w:pPr>
      <w:r>
        <w:rPr>
          <w:color w:val="000000"/>
          <w:sz w:val="24"/>
          <w:szCs w:val="24"/>
        </w:rPr>
        <w:t xml:space="preserve">9. Состав комиссии:</w:t>
      </w:r>
    </w:p>
    <w:p>
      <w:pPr>
        <w:widowControl w:val="on"/>
        <w:pBdr/>
        <w:spacing w:before="120" w:after="120" w:line="240" w:lineRule="auto"/>
        <w:ind w:left="255" w:right="0"/>
        <w:jc w:val="left"/>
        <w:textDirection w:val="lrTb"/>
      </w:pPr>
      <w:r>
        <w:rPr>
          <w:color w:val="000000"/>
          <w:sz w:val="24"/>
          <w:szCs w:val="24"/>
        </w:rPr>
        <w:t xml:space="preserve">На заседании комиссии по подведению итогов запроса котировок 32514534596, присутствовали:</w:t>
      </w:r>
    </w:p>
    <w:tbl>
      <w:tblPr>
        <w:tblStyle w:val="TableGridPHPDOCX"/>
        <w:tblCellMar>
          <w:left w:type="dxa" w:w="0"/>
          <w:right w:type="dxa" w:w="0"/>
        </w:tblCellMar>
        <w:tblW w:w="5000" w:type="pct"/>
        <w:tblInd w:w="0" w:type="auto"/>
        <w:tblBorders>
          <w:top w:val="outset" w:color="808080" w:sz="5"/>
          <w:left w:val="outset" w:color="808080" w:sz="5"/>
          <w:bottom w:val="outset" w:color="808080" w:sz="5"/>
          <w:right w:val="outset" w:color="808080" w:sz="5"/>
        </w:tblBorders>
        <w:tblLayout w:type="fixed"/>
      </w:tblPr>
      <w:tblGrid>
        <w:gridCol w:w="1"/>
        <w:gridCol w:w="1"/>
        <w:gridCol w:w="1"/>
        <w:gridCol w:w="1"/>
      </w:tblGrid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Член комиссии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Роль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Должность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Статус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Левченко Светлана Вячеславовна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Председатель комиссии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Заместитель директора 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Присутствовал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Бахматова Ольга Григорьевна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Заместитель председателя комиссии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Не указана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Отсутствовал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Пермякова Татьяна Юрьевна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Член комиссии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Не указана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Отсутствовал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Шестакова Ольга Александровна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Член комиссии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Не указана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Присутствовал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Угринова Елена Александровна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Член комиссии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Не указана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Присутствовал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Шляпникова Юлия Юрьевна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Член комиссии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Не указана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Отсутствовал </w:t>
            </w:r>
          </w:p>
        </w:tc>
      </w:tr>
    </w:tbl>
    <w:p>
      <w:pPr>
        <w:widowControl w:val="on"/>
        <w:pBdr/>
        <w:spacing w:before="120" w:after="120" w:line="240" w:lineRule="auto"/>
        <w:ind w:left="255" w:right="0"/>
        <w:jc w:val="left"/>
        <w:textDirection w:val="lrTb"/>
      </w:pPr>
      <w:r>
        <w:rPr>
          <w:color w:val="000000"/>
          <w:sz w:val="24"/>
          <w:szCs w:val="24"/>
        </w:rPr>
        <w:t xml:space="preserve">Всего на заседании присутствовало 3 члена(ов) комиссии. Кворум имеется. Заседание правомочно.</w:t>
      </w:r>
    </w:p>
    <w:p>
      <w:pPr>
        <w:widowControl w:val="on"/>
        <w:pBdr/>
        <w:spacing w:before="120" w:after="120" w:line="240" w:lineRule="auto"/>
        <w:ind w:left="375" w:right="0" w:firstLine="-384"/>
        <w:jc w:val="left"/>
        <w:textDirection w:val="lrTb"/>
      </w:pPr>
      <w:r>
        <w:rPr>
          <w:color w:val="000000"/>
          <w:sz w:val="24"/>
          <w:szCs w:val="24"/>
        </w:rPr>
        <w:t xml:space="preserve">10. Сведения о предмете договора и заявках, поданных на участие в закупке:</w:t>
      </w:r>
    </w:p>
    <w:p>
      <w:pPr>
        <w:widowControl w:val="on"/>
        <w:pBdr/>
        <w:spacing w:before="240" w:after="240" w:line="240" w:lineRule="auto"/>
        <w:ind w:left="990" w:right="0" w:firstLine="-960"/>
        <w:jc w:val="left"/>
        <w:textDirection w:val="lrTb"/>
      </w:pPr>
      <w:r>
        <w:rPr>
          <w:b/>
          <w:bCs/>
          <w:color w:val="000000"/>
          <w:sz w:val="24"/>
          <w:szCs w:val="24"/>
        </w:rPr>
        <w:t xml:space="preserve">Лот №1: Поставка товара</w:t>
      </w:r>
    </w:p>
    <w:p>
      <w:pPr>
        <w:widowControl w:val="on"/>
        <w:pBdr/>
        <w:spacing w:before="120" w:after="120" w:line="240" w:lineRule="auto"/>
        <w:ind w:left="720" w:right="0" w:firstLine="-720"/>
        <w:jc w:val="left"/>
        <w:textDirection w:val="lrTb"/>
      </w:pPr>
      <w:r>
        <w:rPr>
          <w:color w:val="000000"/>
          <w:sz w:val="24"/>
          <w:szCs w:val="24"/>
        </w:rPr>
        <w:t xml:space="preserve">10.1.1. Заказчик(и), заключающие договор:</w:t>
      </w:r>
    </w:p>
    <w:tbl>
      <w:tblPr>
        <w:tblStyle w:val="NormalTablePHPDOCX"/>
        <w:tblCellMar>
          <w:left w:type="dxa" w:w="0"/>
          <w:right w:type="dxa" w:w="0"/>
        </w:tblCellMar>
        <w:tblW w:w="5000" w:type="pct"/>
        <w:tblInd w:w="720" w:type="dxa"/>
        <w:tblBorders/>
        <w:tblLayout w:type="fixed"/>
      </w:tblPr>
      <w:tblGrid>
        <w:gridCol w:w="1"/>
      </w:tblGrid>
      <w:tr>
        <w:trPr>
          <w:trHeight w:val="0" w:hRule="atLeast"/>
        </w:trPr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ГОСУДАРСТВЕННОЕ БЮДЖЕТНОЕ УЧРЕЖДЕНИЕ ПЕРМСКОГО КРАЯ "ОЗЕРСКИЙ ЦЕНТР СОЦИАЛЬНОГО ОБСЛУЖИВАНИЯ" </w:t>
            </w:r>
          </w:p>
        </w:tc>
      </w:tr>
    </w:tbl>
    <w:p>
      <w:pPr>
        <w:widowControl w:val="on"/>
        <w:pBdr/>
        <w:spacing w:before="120" w:after="120" w:line="240" w:lineRule="auto"/>
        <w:ind w:left="720" w:right="0" w:firstLine="-720"/>
        <w:jc w:val="left"/>
        <w:textDirection w:val="lrTb"/>
      </w:pPr>
      <w:r>
        <w:rPr>
          <w:color w:val="000000"/>
          <w:sz w:val="24"/>
          <w:szCs w:val="24"/>
        </w:rPr>
        <w:t xml:space="preserve">10.1.2. Начальная (максимальная) цена договора: 126 766,62 (Российский рубль).</w:t>
      </w:r>
    </w:p>
    <w:p>
      <w:pPr>
        <w:widowControl w:val="on"/>
        <w:pBdr/>
        <w:spacing w:before="120" w:after="120" w:line="240" w:lineRule="auto"/>
        <w:ind w:left="720" w:right="0" w:firstLine="-720"/>
        <w:jc w:val="left"/>
        <w:textDirection w:val="lrTb"/>
      </w:pPr>
      <w:r>
        <w:rPr>
          <w:color w:val="000000"/>
          <w:sz w:val="24"/>
          <w:szCs w:val="24"/>
        </w:rPr>
        <w:t xml:space="preserve">10.1.3. Сведения о сроке исполнения договора: в соответствии с требованиями документации.</w:t>
      </w:r>
    </w:p>
    <w:p>
      <w:pPr>
        <w:widowControl w:val="on"/>
        <w:pBdr/>
        <w:spacing w:before="120" w:after="120" w:line="240" w:lineRule="auto"/>
        <w:ind w:left="720" w:right="0" w:firstLine="-720"/>
        <w:jc w:val="left"/>
        <w:textDirection w:val="lrTb"/>
      </w:pPr>
      <w:r>
        <w:rPr>
          <w:color w:val="000000"/>
          <w:sz w:val="24"/>
          <w:szCs w:val="24"/>
        </w:rPr>
        <w:t xml:space="preserve">10.1.4. Классификация товаров, работ, услуг:</w:t>
      </w:r>
    </w:p>
    <w:tbl>
      <w:tblPr>
        <w:tblStyle w:val="TableGridPHPDOCX"/>
        <w:tblCellMar>
          <w:left w:type="dxa" w:w="0"/>
          <w:right w:type="dxa" w:w="0"/>
        </w:tblCellMar>
        <w:tblW w:w="5000" w:type="pct"/>
        <w:tblInd w:w="0" w:type="auto"/>
        <w:tblBorders>
          <w:top w:val="outset" w:color="808080" w:sz="5"/>
          <w:left w:val="outset" w:color="808080" w:sz="5"/>
          <w:bottom w:val="outset" w:color="808080" w:sz="5"/>
          <w:right w:val="outset" w:color="808080" w:sz="5"/>
        </w:tblBorders>
        <w:tblLayout w:type="fixed"/>
      </w:tblPr>
      <w:tblGrid>
        <w:gridCol w:w="1"/>
        <w:gridCol w:w="1"/>
        <w:gridCol w:w="1"/>
      </w:tblGrid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ОКПД 2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ОКВЭД 2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Количество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(ед. измерения)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31.09.13.190 Мебель деревянная прочая, не включенная в другие группировки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31.09.1 Производство прочей мебели, кроме изготовленной по индивидуальному заказу населения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8.00000 (ШТ)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31.01.12.139 Шкафы деревянные прочие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31.01 Производство мебели для офисов и предприятий торговли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3.00000 (ШТ)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31.01.12.110 Столы письменные деревянные для офисов, административных помещений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31.01 Производство мебели для офисов и предприятий торговли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1.00000 (ШТ)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31.01.12.150 Тумбы офисные деревянные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31.01 Производство мебели для офисов и предприятий торговли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1.00000 (ШТ)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31.01.12.150 Тумбы офисные деревянные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31.01 Производство мебели для офисов и предприятий торговли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1.00000 (ШТ) </w:t>
            </w:r>
          </w:p>
        </w:tc>
      </w:tr>
    </w:tbl>
    <w:p>
      <w:pPr>
        <w:widowControl w:val="on"/>
        <w:pBdr/>
        <w:spacing w:before="120" w:after="120" w:line="240" w:lineRule="auto"/>
        <w:ind w:left="720" w:right="0" w:firstLine="-720"/>
        <w:jc w:val="left"/>
        <w:textDirection w:val="lrTb"/>
      </w:pPr>
      <w:r>
        <w:rPr>
          <w:color w:val="000000"/>
          <w:sz w:val="24"/>
          <w:szCs w:val="24"/>
        </w:rPr>
        <w:t xml:space="preserve">10.1.5. Подведение итогов закупки осуществляется среди 3 заявок участников запроса котировок 32514534596:</w:t>
      </w:r>
    </w:p>
    <w:tbl>
      <w:tblPr>
        <w:tblStyle w:val="TableGridPHPDOCX"/>
        <w:tblCellMar>
          <w:left w:type="dxa" w:w="0"/>
          <w:right w:type="dxa" w:w="0"/>
        </w:tblCellMar>
        <w:tblW w:w="5000" w:type="pct"/>
        <w:tblInd w:w="0" w:type="auto"/>
        <w:tblBorders>
          <w:top w:val="outset" w:color="808080" w:sz="5"/>
          <w:left w:val="outset" w:color="808080" w:sz="5"/>
          <w:bottom w:val="outset" w:color="808080" w:sz="5"/>
          <w:right w:val="outset" w:color="808080" w:sz="5"/>
        </w:tblBorders>
        <w:tblLayout w:type="fixed"/>
      </w:tblPr>
      <w:tblGrid>
        <w:gridCol w:w="500"/>
        <w:gridCol w:w="750"/>
        <w:gridCol w:w="1150"/>
        <w:gridCol w:w="1100"/>
        <w:gridCol w:w="500"/>
        <w:gridCol w:w="1000"/>
      </w:tblGrid>
      <w:tr>
        <w:trPr>
          <w:trHeight w:val="0" w:hRule="atLeast"/>
        </w:trPr>
        <w:tc>
          <w:tcPr>
            <w:tcW w:w="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Порядковый номер 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W w:w="7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Идентификатор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W w:w="11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Дата и время подачи 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(по московскому времени) </w:t>
            </w:r>
          </w:p>
        </w:tc>
        <w:tc>
          <w:tcPr>
            <w:tcW w:w="11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Ценовое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предложение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W w:w="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% снижения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Наименование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участника закупки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</w:tr>
      <w:tr>
        <w:trPr>
          <w:trHeight w:val="0" w:hRule="atLeast"/>
        </w:trPr>
        <w:tc>
          <w:tcPr>
            <w:tcW w:w="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1 </w:t>
            </w:r>
          </w:p>
        </w:tc>
        <w:tc>
          <w:tcPr>
            <w:tcW w:w="7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362986 </w:t>
            </w:r>
          </w:p>
        </w:tc>
        <w:tc>
          <w:tcPr>
            <w:tcW w:w="11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27.02.2025 17:49 </w:t>
            </w:r>
          </w:p>
        </w:tc>
        <w:tc>
          <w:tcPr>
            <w:tcW w:w="11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126 766,62 (Российский рубль) </w:t>
            </w:r>
          </w:p>
        </w:tc>
        <w:tc>
          <w:tcPr>
            <w:tcW w:w="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0.00 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ОБЩЕСТВО С ОГРАНИЧЕННОЙ ОТВЕТСТВЕННОСТЬЮ "ПРОИЗВОДСТВЕННАЯ КОМПАНИЯ "ЭКСПЕРТ" </w:t>
            </w:r>
          </w:p>
        </w:tc>
      </w:tr>
      <w:tr>
        <w:trPr>
          <w:trHeight w:val="0" w:hRule="atLeast"/>
        </w:trPr>
        <w:tc>
          <w:tcPr>
            <w:tcW w:w="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2 </w:t>
            </w:r>
          </w:p>
        </w:tc>
        <w:tc>
          <w:tcPr>
            <w:tcW w:w="7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363009 </w:t>
            </w:r>
          </w:p>
        </w:tc>
        <w:tc>
          <w:tcPr>
            <w:tcW w:w="11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27.02.2025 21:09 </w:t>
            </w:r>
          </w:p>
        </w:tc>
        <w:tc>
          <w:tcPr>
            <w:tcW w:w="11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57 315,00 (Российский рубль) </w:t>
            </w:r>
          </w:p>
        </w:tc>
        <w:tc>
          <w:tcPr>
            <w:tcW w:w="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54.79 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ОБЩЕСТВО С ОГРАНИЧЕННОЙ ОТВЕТСТВЕННОСТЬЮ "СИРИОН" </w:t>
            </w:r>
          </w:p>
        </w:tc>
      </w:tr>
      <w:tr>
        <w:trPr>
          <w:trHeight w:val="0" w:hRule="atLeast"/>
        </w:trPr>
        <w:tc>
          <w:tcPr>
            <w:tcW w:w="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3 </w:t>
            </w:r>
          </w:p>
        </w:tc>
        <w:tc>
          <w:tcPr>
            <w:tcW w:w="7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363017 </w:t>
            </w:r>
          </w:p>
        </w:tc>
        <w:tc>
          <w:tcPr>
            <w:tcW w:w="11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27.02.2025 22:58 </w:t>
            </w:r>
          </w:p>
        </w:tc>
        <w:tc>
          <w:tcPr>
            <w:tcW w:w="11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94 000,00 (Российский рубль) </w:t>
            </w:r>
          </w:p>
        </w:tc>
        <w:tc>
          <w:tcPr>
            <w:tcW w:w="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25.85 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ОБЩЕСТВО С ОГРАНИЧЕННОЙ ОТВЕТСТВЕННОСТЬЮ "ГАРДАРИКА-УРАЛ" </w:t>
            </w:r>
          </w:p>
        </w:tc>
      </w:tr>
    </w:tbl>
    <w:p>
      <w:pPr>
        <w:widowControl w:val="on"/>
        <w:pBdr/>
        <w:spacing w:before="120" w:after="120" w:line="240" w:lineRule="auto"/>
        <w:ind w:left="720" w:right="0" w:firstLine="-720"/>
        <w:jc w:val="left"/>
        <w:textDirection w:val="lrTb"/>
      </w:pPr>
      <w:r>
        <w:rPr>
          <w:color w:val="000000"/>
          <w:sz w:val="24"/>
          <w:szCs w:val="24"/>
        </w:rPr>
        <w:t xml:space="preserve">10.1.6. Комиссия рассмотрела заявки участников закупки на соответствие требованиям, установленным документацией, и приняла следующее решение о допуске (отказе в допуске) участников к дальнейшему участию в процедуре:</w:t>
      </w:r>
    </w:p>
    <w:tbl>
      <w:tblPr>
        <w:tblStyle w:val="TableGridPHPDOCX"/>
        <w:tblCellMar>
          <w:left w:type="dxa" w:w="0"/>
          <w:right w:type="dxa" w:w="0"/>
        </w:tblCellMar>
        <w:tblW w:w="5000" w:type="pct"/>
        <w:tblInd w:w="0" w:type="auto"/>
        <w:tblBorders>
          <w:top w:val="outset" w:color="808080" w:sz="5"/>
          <w:left w:val="outset" w:color="808080" w:sz="5"/>
          <w:bottom w:val="outset" w:color="808080" w:sz="5"/>
          <w:right w:val="outset" w:color="808080" w:sz="5"/>
        </w:tblBorders>
        <w:tblLayout w:type="fixed"/>
      </w:tblPr>
      <w:tblGrid>
        <w:gridCol w:w="500"/>
        <w:gridCol w:w="1000"/>
        <w:gridCol w:w="1250"/>
        <w:gridCol w:w="1000"/>
        <w:gridCol w:w="1250"/>
      </w:tblGrid>
      <w:tr>
        <w:trPr>
          <w:trHeight w:val="0" w:hRule="atLeast"/>
        </w:trPr>
        <w:tc>
          <w:tcPr>
            <w:tcW w:w="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Порядковый номер 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Идентификатор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W w:w="12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Дата и время подачи 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(по московскому времени)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Наименование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участника закупки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W w:w="12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Решение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комиссии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</w:tr>
      <w:tr>
        <w:trPr>
          <w:trHeight w:val="0" w:hRule="atLeast"/>
        </w:trPr>
        <w:tc>
          <w:tcPr>
            <w:tcW w:w="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363009 </w:t>
            </w:r>
          </w:p>
        </w:tc>
        <w:tc>
          <w:tcPr>
            <w:tcW w:w="12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27.02.2025 21:09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ОБЩЕСТВО С ОГРАНИЧЕННОЙ ОТВЕТСТВЕННОСТЬЮ "СИРИОН" </w:t>
            </w:r>
          </w:p>
        </w:tc>
        <w:tc>
          <w:tcPr>
            <w:tcW w:w="12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Допущена </w:t>
            </w:r>
          </w:p>
        </w:tc>
      </w:tr>
      <w:tr>
        <w:trPr>
          <w:trHeight w:val="0" w:hRule="atLeast"/>
        </w:trPr>
        <w:tc>
          <w:tcPr>
            <w:tcW w:w="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363017 </w:t>
            </w:r>
          </w:p>
        </w:tc>
        <w:tc>
          <w:tcPr>
            <w:tcW w:w="12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27.02.2025 22:58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ОБЩЕСТВО С ОГРАНИЧЕННОЙ ОТВЕТСТВЕННОСТЬЮ "ГАРДАРИКА-УРАЛ" </w:t>
            </w:r>
          </w:p>
        </w:tc>
        <w:tc>
          <w:tcPr>
            <w:tcW w:w="12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Допущена </w:t>
            </w:r>
          </w:p>
        </w:tc>
      </w:tr>
      <w:tr>
        <w:trPr>
          <w:trHeight w:val="0" w:hRule="atLeast"/>
        </w:trPr>
        <w:tc>
          <w:tcPr>
            <w:tcW w:w="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362986 </w:t>
            </w:r>
          </w:p>
        </w:tc>
        <w:tc>
          <w:tcPr>
            <w:tcW w:w="12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27.02.2025 17:49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ОБЩЕСТВО С ОГРАНИЧЕННОЙ ОТВЕТСТВЕННОСТЬЮ "ПРОИЗВОДСТВЕННАЯ КОМПАНИЯ "ЭКСПЕРТ" </w:t>
            </w:r>
          </w:p>
        </w:tc>
        <w:tc>
          <w:tcPr>
            <w:tcW w:w="125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Допущена </w:t>
            </w:r>
          </w:p>
        </w:tc>
      </w:tr>
    </w:tbl>
    <w:p>
      <w:pPr>
        <w:widowControl w:val="on"/>
        <w:pBdr/>
        <w:spacing w:before="120" w:after="120" w:line="240" w:lineRule="auto"/>
        <w:ind w:left="720" w:right="0" w:firstLine="-720"/>
        <w:jc w:val="left"/>
        <w:textDirection w:val="lrTb"/>
      </w:pPr>
      <w:r>
        <w:rPr>
          <w:color w:val="000000"/>
          <w:sz w:val="24"/>
          <w:szCs w:val="24"/>
        </w:rPr>
        <w:t xml:space="preserve">10.1.7. Сведения о решении каждого члена комиссии:</w:t>
      </w:r>
    </w:p>
    <w:tbl>
      <w:tblPr>
        <w:tblStyle w:val="TableGridPHPDOCX"/>
        <w:tblCellMar>
          <w:left w:type="dxa" w:w="0"/>
          <w:right w:type="dxa" w:w="0"/>
        </w:tblCellMar>
        <w:tblW w:w="5000" w:type="pct"/>
        <w:tblInd w:w="0" w:type="auto"/>
        <w:tblBorders>
          <w:top w:val="outset" w:color="808080" w:sz="5"/>
          <w:left w:val="outset" w:color="808080" w:sz="5"/>
          <w:bottom w:val="outset" w:color="808080" w:sz="5"/>
          <w:right w:val="outset" w:color="808080" w:sz="5"/>
        </w:tblBorders>
        <w:tblLayout w:type="fixed"/>
      </w:tblPr>
      <w:tblGrid>
        <w:gridCol w:w="1500"/>
        <w:gridCol w:w="1000"/>
        <w:gridCol w:w="1000"/>
        <w:gridCol w:w="1500"/>
      </w:tblGrid>
      <w:tr>
        <w:trPr>
          <w:trHeight w:val="0" w:hRule="atLeast"/>
        </w:trPr>
        <w:tc>
          <w:tcPr>
            <w:tcW w:w="1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ФИО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Роль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Решение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W w:w="1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Комментарий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</w:tr>
      <w:tr>
        <w:trPr>
          <w:trHeight w:val="0" w:hRule="atLeast"/>
        </w:trPr>
        <w:tc>
          <w:tcPr>
            <w:tcW w:w="1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Угринова Елена Александровна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Член комиссии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За </w:t>
            </w:r>
          </w:p>
        </w:tc>
        <w:tc>
          <w:tcPr>
            <w:tcW w:w="1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 </w:t>
            </w:r>
          </w:p>
        </w:tc>
      </w:tr>
      <w:tr>
        <w:trPr>
          <w:trHeight w:val="0" w:hRule="atLeast"/>
        </w:trPr>
        <w:tc>
          <w:tcPr>
            <w:tcW w:w="1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Шестакова Ольга Александровна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Член комиссии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За </w:t>
            </w:r>
          </w:p>
        </w:tc>
        <w:tc>
          <w:tcPr>
            <w:tcW w:w="1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 </w:t>
            </w:r>
          </w:p>
        </w:tc>
      </w:tr>
      <w:tr>
        <w:trPr>
          <w:trHeight w:val="0" w:hRule="atLeast"/>
        </w:trPr>
        <w:tc>
          <w:tcPr>
            <w:tcW w:w="1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Левченко Светлана Вячеславовна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Председатель комиссии </w:t>
            </w:r>
          </w:p>
        </w:tc>
        <w:tc>
          <w:tcPr>
            <w:tcW w:w="10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За </w:t>
            </w:r>
          </w:p>
        </w:tc>
        <w:tc>
          <w:tcPr>
            <w:tcW w:w="1500" w:type="pct"/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 </w:t>
            </w:r>
          </w:p>
        </w:tc>
      </w:tr>
    </w:tbl>
    <w:p>
      <w:pPr>
        <w:widowControl w:val="on"/>
        <w:pBdr/>
        <w:spacing w:before="120" w:after="120" w:line="240" w:lineRule="auto"/>
        <w:ind w:left="720" w:right="0" w:firstLine="-720"/>
        <w:jc w:val="left"/>
        <w:textDirection w:val="lrTb"/>
      </w:pPr>
      <w:r>
        <w:rPr>
          <w:color w:val="000000"/>
          <w:sz w:val="24"/>
          <w:szCs w:val="24"/>
        </w:rPr>
        <w:t xml:space="preserve">10.1.8. Сведения об итоговых позициях участников, заявки на участие которых были признаны соответствующими требованиям, предъявляемым к участникам запроса котировок</w:t>
      </w:r>
    </w:p>
    <w:tbl>
      <w:tblPr>
        <w:tblStyle w:val="TableGridPHPDOCX"/>
        <w:tblCellMar>
          <w:left w:type="dxa" w:w="0"/>
          <w:right w:type="dxa" w:w="0"/>
        </w:tblCellMar>
        <w:tblW w:w="5000" w:type="pct"/>
        <w:tblInd w:w="0" w:type="auto"/>
        <w:tblBorders>
          <w:top w:val="outset" w:color="808080" w:sz="5"/>
          <w:left w:val="outset" w:color="808080" w:sz="5"/>
          <w:bottom w:val="outset" w:color="808080" w:sz="5"/>
          <w:right w:val="outset" w:color="808080" w:sz="5"/>
        </w:tblBorders>
        <w:tblLayout w:type="fixed"/>
      </w:tblPr>
      <w:tblGrid>
        <w:gridCol w:w="1"/>
        <w:gridCol w:w="1"/>
        <w:gridCol w:w="1"/>
        <w:gridCol w:w="1"/>
        <w:gridCol w:w="1"/>
      </w:tblGrid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Итоговая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позиция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Наименование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участника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закупки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 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Лучшее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ценовое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предложение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Номер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участника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Идентификатор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 xml:space="preserve">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Победитель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ОБЩЕСТВО С ОГРАНИЧЕННОЙ ОТВЕТСТВЕННОСТЬЮ "СИРИОН"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57 315,00 (Российский рубль)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363009 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2 место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ОБЩЕСТВО С ОГРАНИЧЕННОЙ ОТВЕТСТВЕННОСТЬЮ "ГАРДАРИКА-УРАЛ"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94 000,00 (Российский рубль)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363017 </w:t>
            </w:r>
          </w:p>
        </w:tc>
      </w:tr>
      <w:tr>
        <w:trPr>
          <w:trHeight w:val="0" w:hRule="atLeast"/>
        </w:trPr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 место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ОБЩЕСТВО С ОГРАНИЧЕННОЙ ОТВЕТСТВЕННОСТЬЮ "ПРОИЗВОДСТВЕННАЯ КОМПАНИЯ "ЭКСПЕРТ"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126 766,62 (Российский рубль)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1 </w:t>
            </w:r>
          </w:p>
        </w:tc>
        <w:tc>
          <w:tcPr>
            <w:tcBorders>
              <w:top w:val="inset" w:color="000000" w:sz="7"/>
              <w:left w:val="inset" w:color="000000" w:sz="7"/>
              <w:bottom w:val="inset" w:color="000000" w:sz="7"/>
              <w:right w:val="inset" w:color="000000" w:sz="7"/>
            </w:tcBorders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362986 </w:t>
            </w:r>
          </w:p>
        </w:tc>
      </w:tr>
    </w:tbl>
    <w:p>
      <w:pPr>
        <w:widowControl w:val="on"/>
        <w:pBdr/>
        <w:spacing w:before="120" w:after="120" w:line="240" w:lineRule="auto"/>
        <w:ind w:left="375" w:right="0" w:firstLine="-384"/>
        <w:jc w:val="left"/>
        <w:textDirection w:val="lrTb"/>
      </w:pPr>
      <w:r>
        <w:rPr>
          <w:color w:val="000000"/>
          <w:sz w:val="24"/>
          <w:szCs w:val="24"/>
        </w:rPr>
        <w:t xml:space="preserve">10.1.9. На основании результатов подведения итогов было принято решение:</w:t>
      </w:r>
    </w:p>
    <w:p>
      <w:pPr>
        <w:widowControl w:val="on"/>
        <w:pBdr/>
        <w:spacing w:before="120" w:after="120" w:line="240" w:lineRule="auto"/>
        <w:ind w:left="705" w:right="0"/>
        <w:jc w:val="left"/>
        <w:textDirection w:val="lrTb"/>
      </w:pPr>
      <w:r>
        <w:rPr>
          <w:color w:val="000000"/>
          <w:sz w:val="24"/>
          <w:szCs w:val="24"/>
        </w:rPr>
        <w:t xml:space="preserve">Заключить договор с:</w:t>
      </w:r>
    </w:p>
    <w:p>
      <w:pPr>
        <w:widowControl w:val="on"/>
        <w:pBdr/>
        <w:spacing w:before="120" w:after="120" w:line="240" w:lineRule="auto"/>
        <w:ind w:left="705" w:right="0"/>
        <w:jc w:val="left"/>
        <w:textDirection w:val="lrTb"/>
      </w:pPr>
      <w:r>
        <w:rPr>
          <w:color w:val="000000"/>
          <w:sz w:val="24"/>
          <w:szCs w:val="24"/>
        </w:rPr>
        <w:t xml:space="preserve">ООО "СИРИОН"</w:t>
      </w:r>
    </w:p>
    <w:p>
      <w:pPr>
        <w:widowControl w:val="on"/>
        <w:pBdr/>
        <w:spacing w:before="120" w:after="120" w:line="240" w:lineRule="auto"/>
        <w:ind w:left="375" w:right="0" w:firstLine="-384"/>
        <w:jc w:val="left"/>
        <w:textDirection w:val="lrTb"/>
      </w:pPr>
      <w:r>
        <w:rPr>
          <w:color w:val="000000"/>
          <w:sz w:val="24"/>
          <w:szCs w:val="24"/>
        </w:rPr>
        <w:t xml:space="preserve">11. Протокол подведения итогов запроса котировок подписан всеми присутствующими на заседании членами комиссии</w:t>
      </w:r>
    </w:p>
    <w:p>
      <w:pPr>
        <w:widowControl w:val="on"/>
        <w:pBdr/>
        <w:spacing w:before="120" w:after="120" w:line="240" w:lineRule="auto"/>
        <w:ind w:left="375" w:right="0" w:firstLine="-384"/>
        <w:jc w:val="left"/>
        <w:textDirection w:val="lrTb"/>
      </w:pPr>
      <w:r>
        <w:rPr>
          <w:color w:val="000000"/>
          <w:sz w:val="24"/>
          <w:szCs w:val="24"/>
        </w:rPr>
        <w:t xml:space="preserve">12. Настоящий протокол подлежит размещению в Единой информационной системе в сфере закупок в порядке и в сроки, установленные Федеральным законом от 18 июля 2011 года № 223-ФЗ «О закупках товаров, работ, услуг отдельными видами юридических лиц» — федеральный закон Российской Федерации, регламентирующий порядок осуществления закупок отдельными видами юридических лиц.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color w:val="000000"/>
          <w:sz w:val="24"/>
          <w:szCs w:val="24"/>
        </w:rPr>
        <w:t xml:space="preserve"> </w:t>
      </w:r>
    </w:p>
    <w:p>
      <w:pPr>
        <w:widowControl w:val="on"/>
        <w:pBdr/>
        <w:spacing w:before="0" w:after="0" w:line="240" w:lineRule="auto"/>
        <w:ind w:left="0" w:right="0"/>
        <w:jc w:val="left"/>
      </w:pPr>
      <w:r>
        <w:rPr>
          <w:b/>
          <w:bCs/>
          <w:color w:val="000000"/>
          <w:sz w:val="24"/>
          <w:szCs w:val="24"/>
        </w:rPr>
        <w:t xml:space="preserve">Подписи:</w:t>
      </w:r>
    </w:p>
    <w:tbl>
      <w:tblPr>
        <w:tblStyle w:val="NormalTablePHPDOCX"/>
        <w:tblCellMar>
          <w:left w:type="dxa" w:w="0"/>
          <w:right w:type="dxa" w:w="0"/>
        </w:tblCellMar>
        <w:tblW w:w="5000" w:type="pct"/>
        <w:tblInd w:w="0" w:type="auto"/>
        <w:tblBorders/>
        <w:tblLayout w:type="fixed"/>
      </w:tblPr>
      <w:tblGrid>
        <w:gridCol w:w="2000"/>
        <w:gridCol w:w="1000"/>
        <w:gridCol w:w="2000"/>
      </w:tblGrid>
      <w:tr>
        <w:trPr>
          <w:trHeight w:val="0" w:hRule="atLeast"/>
        </w:trPr>
        <w:tc>
          <w:tcPr>
            <w:tcW w:w="2000" w:type="pct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 </w:t>
            </w:r>
          </w:p>
        </w:tc>
        <w:tc>
          <w:tcPr>
            <w:tcW w:w="1000" w:type="pct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 </w:t>
            </w:r>
          </w:p>
        </w:tc>
        <w:tc>
          <w:tcPr>
            <w:tcW w:w="2000" w:type="pct"/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 </w:t>
            </w:r>
          </w:p>
        </w:tc>
      </w:tr>
      <w:tr>
        <w:trPr>
          <w:trHeight w:val="0" w:hRule="atLeast"/>
        </w:trPr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Председатель комиссии </w:t>
            </w:r>
          </w:p>
        </w:tc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405" w:after="0" w:line="240" w:lineRule="auto"/>
              <w:ind w:left="0" w:right="0"/>
              <w:jc w:val="center"/>
              <w:textDirection w:val="lrTb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  <w:u w:val="single" w:color=""/>
              </w:rPr>
              <w:t xml:space="preserve">                       </w:t>
            </w:r>
          </w:p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2"/>
                <w:sz w:val="18"/>
                <w:szCs w:val="18"/>
              </w:rPr>
              <w:t xml:space="preserve">(подпись)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
 </w:t>
            </w:r>
          </w:p>
        </w:tc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Левченко Светлана Вячеславовна </w:t>
            </w:r>
          </w:p>
        </w:tc>
      </w:tr>
      <w:tr>
        <w:trPr>
          <w:trHeight w:val="0" w:hRule="atLeast"/>
        </w:trPr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Член комиссии </w:t>
            </w:r>
          </w:p>
        </w:tc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405" w:after="0" w:line="240" w:lineRule="auto"/>
              <w:ind w:left="0" w:right="0"/>
              <w:jc w:val="center"/>
              <w:textDirection w:val="lrTb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  <w:u w:val="single" w:color=""/>
              </w:rPr>
              <w:t xml:space="preserve">                       </w:t>
            </w:r>
          </w:p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2"/>
                <w:sz w:val="18"/>
                <w:szCs w:val="18"/>
              </w:rPr>
              <w:t xml:space="preserve">(подпись)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
 </w:t>
            </w:r>
          </w:p>
        </w:tc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Шестакова Ольга Александровна </w:t>
            </w:r>
          </w:p>
        </w:tc>
      </w:tr>
      <w:tr>
        <w:trPr>
          <w:trHeight w:val="0" w:hRule="atLeast"/>
        </w:trPr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Член комиссии </w:t>
            </w:r>
          </w:p>
        </w:tc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405" w:after="0" w:line="240" w:lineRule="auto"/>
              <w:ind w:left="0" w:right="0"/>
              <w:jc w:val="center"/>
              <w:textDirection w:val="lrTb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  <w:u w:val="single" w:color=""/>
              </w:rPr>
              <w:t xml:space="preserve">                       </w:t>
            </w:r>
          </w:p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color w:val="000000"/>
                <w:position w:val="-2"/>
                <w:sz w:val="18"/>
                <w:szCs w:val="18"/>
              </w:rPr>
              <w:t xml:space="preserve">(подпись)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
 </w:t>
            </w:r>
          </w:p>
        </w:tc>
        <w:tc>
          <w:tcPr>
            <w:tcMar>
              <w:top w:w="75" w:type="dxa"/>
              <w:left w:w="75" w:type="dxa"/>
              <w:bottom w:w="75" w:type="dxa"/>
              <w:right w:w="75" w:type="dxa"/>
            </w:tcMar>
            <w:textDirection w:val="lrTb"/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Угринова Елена Александровна </w:t>
            </w:r>
          </w:p>
        </w:tc>
      </w:tr>
    </w:tbl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color w:val="000000"/>
          <w:sz w:val="24"/>
          <w:szCs w:val="24"/>
        </w:rPr>
        <w:t xml:space="preserve"> </w:t>
      </w:r>
    </w:p>
    <w:sectPr xmlns:w="http://schemas.openxmlformats.org/wordprocessingml/2006/main" w:rsidR="00AC197E" w:rsidRPr="00DF064E" w:rsidSect="000F6147">
      <w:pgSz w:w="11905" w:h="16837" w:orient="portrait" w:code="9"/>
      <w:pgMar w:top="1077" w:right="1077" w:bottom="963" w:left="1077" w:header="708" w:footer="708" w:gutter="0"/>
      <w:cols w:space="708" w:num="1"/>
      <w:docGrid w:linePitch="36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/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0FDA" w:rsidRDefault="006E0FDA" w:rsidP="006E0FDA">
      <w:pPr>
        <w:spacing w:after="0" w:line="240" w:lineRule="auto"/>
      </w:pPr>
      <w:r>
        <w:separator/>
      </w:r>
    </w:p>
  </w:endnote>
  <w:endnote w:type="continuationSeparator" w:id="0">
    <w:p w:rsidR="006E0FDA" w:rsidRDefault="006E0FDA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0FDA" w:rsidRDefault="006E0FDA" w:rsidP="006E0FDA">
      <w:pPr>
        <w:spacing w:after="0" w:line="240" w:lineRule="auto"/>
      </w:pPr>
      <w:r>
        <w:separator/>
      </w:r>
    </w:p>
  </w:footnote>
  <w:footnote w:type="continuationSeparator" w:id="0">
    <w:p w:rsidR="006E0FDA" w:rsidRDefault="006E0FDA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14="http://schemas.microsoft.com/office/word/2010/wordml" xmlns:w15="http://schemas.microsoft.com/office/word/2012/wordml" xmlns:w="http://schemas.openxmlformats.org/wordprocessingml/2006/main" xmlns:wne="http://schemas.microsoft.com/office/word/2006/wordml" mc:Ignorable="w14 w15 wp14">
  <w:abstractNum w:abstractNumId="13864">
    <w:multiLevelType w:val="hybridMultilevel"/>
    <w:lvl w:ilvl="0" w:tplc="51506468">
      <w:start w:val="1"/>
      <w:numFmt w:val="decimal"/>
      <w:lvlText w:val="%1."/>
      <w:lvlJc w:val="left"/>
      <w:pPr>
        <w:ind w:left="720" w:hanging="360"/>
      </w:pPr>
    </w:lvl>
    <w:lvl w:ilvl="1" w:tplc="51506468" w:tentative="1">
      <w:start w:val="1"/>
      <w:numFmt w:val="lowerLetter"/>
      <w:lvlText w:val="%2."/>
      <w:lvlJc w:val="left"/>
      <w:pPr>
        <w:ind w:left="1440" w:hanging="360"/>
      </w:pPr>
    </w:lvl>
    <w:lvl w:ilvl="2" w:tplc="51506468" w:tentative="1">
      <w:start w:val="1"/>
      <w:numFmt w:val="lowerRoman"/>
      <w:lvlText w:val="%3."/>
      <w:lvlJc w:val="right"/>
      <w:pPr>
        <w:ind w:left="2160" w:hanging="180"/>
      </w:pPr>
    </w:lvl>
    <w:lvl w:ilvl="3" w:tplc="51506468" w:tentative="1">
      <w:start w:val="1"/>
      <w:numFmt w:val="decimal"/>
      <w:lvlText w:val="%4."/>
      <w:lvlJc w:val="left"/>
      <w:pPr>
        <w:ind w:left="2880" w:hanging="360"/>
      </w:pPr>
    </w:lvl>
    <w:lvl w:ilvl="4" w:tplc="51506468" w:tentative="1">
      <w:start w:val="1"/>
      <w:numFmt w:val="lowerLetter"/>
      <w:lvlText w:val="%5."/>
      <w:lvlJc w:val="left"/>
      <w:pPr>
        <w:ind w:left="3600" w:hanging="360"/>
      </w:pPr>
    </w:lvl>
    <w:lvl w:ilvl="5" w:tplc="51506468" w:tentative="1">
      <w:start w:val="1"/>
      <w:numFmt w:val="lowerRoman"/>
      <w:lvlText w:val="%6."/>
      <w:lvlJc w:val="right"/>
      <w:pPr>
        <w:ind w:left="4320" w:hanging="180"/>
      </w:pPr>
    </w:lvl>
    <w:lvl w:ilvl="6" w:tplc="51506468" w:tentative="1">
      <w:start w:val="1"/>
      <w:numFmt w:val="decimal"/>
      <w:lvlText w:val="%7."/>
      <w:lvlJc w:val="left"/>
      <w:pPr>
        <w:ind w:left="5040" w:hanging="360"/>
      </w:pPr>
    </w:lvl>
    <w:lvl w:ilvl="7" w:tplc="51506468" w:tentative="1">
      <w:start w:val="1"/>
      <w:numFmt w:val="lowerLetter"/>
      <w:lvlText w:val="%8."/>
      <w:lvlJc w:val="left"/>
      <w:pPr>
        <w:ind w:left="5760" w:hanging="360"/>
      </w:pPr>
    </w:lvl>
    <w:lvl w:ilvl="8" w:tplc="515064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63">
    <w:multiLevelType w:val="hybridMultilevel"/>
    <w:lvl w:ilvl="0" w:tplc="24398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pStyle w:val="Heading1PHPDOCX"/>
      <w:lvlText w:val="%1"/>
      <w:lvlJc w:val="left"/>
      <w:pPr>
        <w:ind w:left="432" w:hanging="432"/>
      </w:pPr>
    </w:lvl>
    <w:lvl w:ilvl="1">
      <w:start w:val="1"/>
      <w:numFmt w:val="decimal"/>
      <w:pStyle w:val="Heading2PHPDOCX"/>
      <w:lvlText w:val="%1.%2"/>
      <w:lvlJc w:val="left"/>
      <w:pPr>
        <w:ind w:left="576" w:hanging="576"/>
      </w:pPr>
    </w:lvl>
    <w:lvl w:ilvl="2">
      <w:start w:val="1"/>
      <w:numFmt w:val="decimal"/>
      <w:pStyle w:val="Heading3PHPDOCX"/>
      <w:lvlText w:val="%1.%2.%3"/>
      <w:lvlJc w:val="left"/>
      <w:pPr>
        <w:ind w:left="720" w:hanging="720"/>
      </w:pPr>
    </w:lvl>
    <w:lvl w:ilvl="3">
      <w:start w:val="1"/>
      <w:numFmt w:val="decimal"/>
      <w:pStyle w:val="Heading4PHPDOCX"/>
      <w:lvlText w:val="%1.%2.%3.%4"/>
      <w:lvlJc w:val="left"/>
      <w:pPr>
        <w:ind w:left="864" w:hanging="864"/>
      </w:pPr>
    </w:lvl>
    <w:lvl w:ilvl="4">
      <w:start w:val="1"/>
      <w:numFmt w:val="decimal"/>
      <w:pStyle w:val="Heading5PHPDOCX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PHPDOCX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PHPDOCX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PHPDOCX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PHPDOCX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13863">
    <w:abstractNumId w:val="13863"/>
  </w:num>
  <w:num w:numId="13864">
    <w:abstractNumId w:val="13864"/>
  </w:num>
</w:numbering>
</file>

<file path=word/people.xml><?xml version="1.0" encoding="utf-8"?>
<w15:people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F064E"/>
    <w:rsid w:val="00065F9C"/>
    <w:rsid w:val="000F6147"/>
    <w:rsid w:val="00112029"/>
    <w:rsid w:val="00135412"/>
    <w:rsid w:val="00361FF4"/>
    <w:rsid w:val="003B5299"/>
    <w:rsid w:val="00493A0C"/>
    <w:rsid w:val="004D6B48"/>
    <w:rsid w:val="00531A4E"/>
    <w:rsid w:val="00535F5A"/>
    <w:rsid w:val="00555F58"/>
    <w:rsid w:val="006E6663"/>
    <w:rsid w:val="008B3AC2"/>
    <w:rsid w:val="008F680D"/>
    <w:rsid w:val="00AC197E"/>
    <w:rsid w:val="00B21D59"/>
    <w:rsid w:val="00BD419F"/>
    <w:rsid w:val="00DF064E"/>
    <w:rsid w:val="00FB45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 PHPDOCX" w:semiHidden="0" w:uiPriority="0" w:unhideWhenUsed="0" w:qFormat="1"/>
    <w:lsdException w:name="Heading 1 PHPDOCX" w:semiHidden="0" w:uiPriority="9" w:unhideWhenUsed="0" w:qFormat="1"/>
    <w:lsdException w:name="Heading 2 PHPDOCX" w:uiPriority="9" w:qFormat="1"/>
    <w:lsdException w:name="Heading 3 PHPDOCX" w:uiPriority="9" w:qFormat="1"/>
    <w:lsdException w:name="Heading 4 PHPDOCX" w:uiPriority="9" w:qFormat="1"/>
    <w:lsdException w:name="Heading 5 PHPDOCX" w:uiPriority="9" w:qFormat="1"/>
    <w:lsdException w:name="Heading 6 PHPDOCX" w:uiPriority="9" w:qFormat="1"/>
    <w:lsdException w:name="Heading 7 PHPDOCX" w:uiPriority="9" w:qFormat="1"/>
    <w:lsdException w:name="Heading 8 PHPDOCX" w:uiPriority="9" w:qFormat="1"/>
    <w:lsdException w:name="Heading 9 PHPDOCX" w:uiPriority="9" w:qFormat="1"/>
    <w:lsdException w:name="toc 1 PHPDOCX" w:uiPriority="39"/>
    <w:lsdException w:name="toc 2 PHPDOCX" w:uiPriority="39"/>
    <w:lsdException w:name="toc 3 PHPDOCX" w:uiPriority="39"/>
    <w:lsdException w:name="toc 4 PHPDOCX" w:uiPriority="39"/>
    <w:lsdException w:name="toc 5 PHPDOCX" w:uiPriority="39"/>
    <w:lsdException w:name="toc 6 PHPDOCX" w:uiPriority="39"/>
    <w:lsdException w:name="toc 7 PHPDOCX" w:uiPriority="39"/>
    <w:lsdException w:name="toc 8 PHPDOCX" w:uiPriority="39"/>
    <w:lsdException w:name="toc 9 PHPDOCX" w:uiPriority="39"/>
    <w:lsdException w:name="caption PHPDOCX" w:uiPriority="35" w:qFormat="1"/>
    <w:lsdException w:name="Title PHPDOCX" w:semiHidden="0" w:uiPriority="10" w:unhideWhenUsed="0" w:qFormat="1"/>
    <w:lsdException w:name="Default Paragraph Font PHPDOCX" w:uiPriority="1"/>
    <w:lsdException w:name="Subtitle PHPDOCX" w:semiHidden="0" w:uiPriority="11" w:unhideWhenUsed="0" w:qFormat="1"/>
    <w:lsdException w:name="Strong PHPDOCX" w:semiHidden="0" w:uiPriority="22" w:unhideWhenUsed="0" w:qFormat="1"/>
    <w:lsdException w:name="Emphasis PHPDOCX" w:semiHidden="0" w:uiPriority="20" w:unhideWhenUsed="0" w:qFormat="1"/>
    <w:lsdException w:name="Normal Table PHPDOCX" w:semiHidden="0" w:uiPriority="58" w:unhideWhenUsed="0"/>
    <w:lsdException w:name="Table Grid PHPDOCX" w:semiHidden="0" w:uiPriority="59" w:unhideWhenUsed="0"/>
    <w:lsdException w:name="Placeholder Text PHPDOCX" w:unhideWhenUsed="0"/>
    <w:lsdException w:name="No Spacing PHPDOCX" w:semiHidden="0" w:uiPriority="1" w:unhideWhenUsed="0" w:qFormat="1"/>
    <w:lsdException w:name="Light Shading PHPDOCX" w:semiHidden="0" w:uiPriority="60" w:unhideWhenUsed="0"/>
    <w:lsdException w:name="Light List PHPDOCX" w:semiHidden="0" w:uiPriority="61" w:unhideWhenUsed="0"/>
    <w:lsdException w:name="Light Grid PHPDOCX" w:semiHidden="0" w:uiPriority="62" w:unhideWhenUsed="0"/>
    <w:lsdException w:name="Medium Shading 1 PHPDOCX" w:semiHidden="0" w:uiPriority="63" w:unhideWhenUsed="0"/>
    <w:lsdException w:name="Medium Shading 2 PHPDOCX" w:semiHidden="0" w:uiPriority="64" w:unhideWhenUsed="0"/>
    <w:lsdException w:name="Medium List 1 PHPDOCX" w:semiHidden="0" w:uiPriority="65" w:unhideWhenUsed="0"/>
    <w:lsdException w:name="Medium List 2 PHPDOCX" w:semiHidden="0" w:uiPriority="66" w:unhideWhenUsed="0"/>
    <w:lsdException w:name="Medium Grid 1 PHPDOCX" w:semiHidden="0" w:uiPriority="67" w:unhideWhenUsed="0"/>
    <w:lsdException w:name="Medium Grid 2 PHPDOCX" w:semiHidden="0" w:uiPriority="68" w:unhideWhenUsed="0"/>
    <w:lsdException w:name="Medium Grid 3 PHPDOCX" w:semiHidden="0" w:uiPriority="69" w:unhideWhenUsed="0"/>
    <w:lsdException w:name="Dark List PHPDOCX" w:semiHidden="0" w:uiPriority="70" w:unhideWhenUsed="0"/>
    <w:lsdException w:name="Colorful Shading PHPDOCX" w:semiHidden="0" w:uiPriority="71" w:unhideWhenUsed="0"/>
    <w:lsdException w:name="Colorful List PHPDOCX" w:semiHidden="0" w:uiPriority="72" w:unhideWhenUsed="0"/>
    <w:lsdException w:name="Colorful Grid PHPDOCX" w:semiHidden="0" w:uiPriority="73" w:unhideWhenUsed="0"/>
    <w:lsdException w:name="Light Shading Accent 1 PHPDOCX" w:semiHidden="0" w:uiPriority="60" w:unhideWhenUsed="0"/>
    <w:lsdException w:name="Light List Accent 1 PHPDOCX" w:semiHidden="0" w:uiPriority="61" w:unhideWhenUsed="0"/>
    <w:lsdException w:name="Light Grid Accent 1 PHPDOCX" w:semiHidden="0" w:uiPriority="62" w:unhideWhenUsed="0"/>
    <w:lsdException w:name="Medium Shading 1 Accent 1 PHPDOCX" w:semiHidden="0" w:uiPriority="63" w:unhideWhenUsed="0"/>
    <w:lsdException w:name="Medium Shading 2 Accent 1 PHPDOCX" w:semiHidden="0" w:uiPriority="64" w:unhideWhenUsed="0"/>
    <w:lsdException w:name="Medium List 1 Accent 1 PHPDOCX" w:semiHidden="0" w:uiPriority="65" w:unhideWhenUsed="0"/>
    <w:lsdException w:name="Revision PHPDOCX" w:unhideWhenUsed="0"/>
    <w:lsdException w:name="List Paragraph PHPDOCX" w:semiHidden="0" w:uiPriority="34" w:unhideWhenUsed="0" w:qFormat="1"/>
    <w:lsdException w:name="Quote PHPDOCX" w:semiHidden="0" w:uiPriority="29" w:unhideWhenUsed="0" w:qFormat="1"/>
    <w:lsdException w:name="Intense Quote PHPDOCX" w:semiHidden="0" w:uiPriority="30" w:unhideWhenUsed="0" w:qFormat="1"/>
    <w:lsdException w:name="Medium List 2 Accent 1 PHPDOCX" w:semiHidden="0" w:uiPriority="66" w:unhideWhenUsed="0"/>
    <w:lsdException w:name="Medium Grid 1 Accent 1 PHPDOCX" w:semiHidden="0" w:uiPriority="67" w:unhideWhenUsed="0"/>
    <w:lsdException w:name="Medium Grid 2 Accent 1 PHPDOCX" w:semiHidden="0" w:uiPriority="68" w:unhideWhenUsed="0"/>
    <w:lsdException w:name="Medium Grid 3 Accent 1 PHPDOCX" w:semiHidden="0" w:uiPriority="69" w:unhideWhenUsed="0"/>
    <w:lsdException w:name="Dark List Accent 1 PHPDOCX" w:semiHidden="0" w:uiPriority="70" w:unhideWhenUsed="0"/>
    <w:lsdException w:name="Colorful Shading Accent 1 PHPDOCX" w:semiHidden="0" w:uiPriority="71" w:unhideWhenUsed="0"/>
    <w:lsdException w:name="Colorful List Accent 1 PHPDOCX" w:semiHidden="0" w:uiPriority="72" w:unhideWhenUsed="0"/>
    <w:lsdException w:name="Colorful Grid Accent 1 PHPDOCX" w:semiHidden="0" w:uiPriority="73" w:unhideWhenUsed="0"/>
    <w:lsdException w:name="Light Shading Accent 2 PHPDOCX" w:semiHidden="0" w:uiPriority="60" w:unhideWhenUsed="0"/>
    <w:lsdException w:name="Light List Accent 2 PHPDOCX" w:semiHidden="0" w:uiPriority="61" w:unhideWhenUsed="0"/>
    <w:lsdException w:name="Light Grid Accent 2 PHPDOCX" w:semiHidden="0" w:uiPriority="62" w:unhideWhenUsed="0"/>
    <w:lsdException w:name="Medium Shading 1 Accent 2 PHPDOCX" w:semiHidden="0" w:uiPriority="63" w:unhideWhenUsed="0"/>
    <w:lsdException w:name="Medium Shading 2 Accent 2 PHPDOCX" w:semiHidden="0" w:uiPriority="64" w:unhideWhenUsed="0"/>
    <w:lsdException w:name="Medium List 1 Accent 2 PHPDOCX" w:semiHidden="0" w:uiPriority="65" w:unhideWhenUsed="0"/>
    <w:lsdException w:name="Medium List 2 Accent 2 PHPDOCX" w:semiHidden="0" w:uiPriority="66" w:unhideWhenUsed="0"/>
    <w:lsdException w:name="Medium Grid 1 Accent 2 PHPDOCX" w:semiHidden="0" w:uiPriority="67" w:unhideWhenUsed="0"/>
    <w:lsdException w:name="Medium Grid 2 Accent 2 PHPDOCX" w:semiHidden="0" w:uiPriority="68" w:unhideWhenUsed="0"/>
    <w:lsdException w:name="Medium Grid 3 Accent 2 PHPDOCX" w:semiHidden="0" w:uiPriority="69" w:unhideWhenUsed="0"/>
    <w:lsdException w:name="Dark List Accent 2 PHPDOCX" w:semiHidden="0" w:uiPriority="70" w:unhideWhenUsed="0"/>
    <w:lsdException w:name="Colorful Shading Accent 2 PHPDOCX" w:semiHidden="0" w:uiPriority="71" w:unhideWhenUsed="0"/>
    <w:lsdException w:name="Colorful List Accent 2 PHPDOCX" w:semiHidden="0" w:uiPriority="72" w:unhideWhenUsed="0"/>
    <w:lsdException w:name="Colorful Grid Accent 2 PHPDOCX" w:semiHidden="0" w:uiPriority="73" w:unhideWhenUsed="0"/>
    <w:lsdException w:name="Light Shading Accent 3 PHPDOCX" w:semiHidden="0" w:uiPriority="60" w:unhideWhenUsed="0"/>
    <w:lsdException w:name="Light List Accent 3 PHPDOCX" w:semiHidden="0" w:uiPriority="61" w:unhideWhenUsed="0"/>
    <w:lsdException w:name="Light Grid Accent 3 PHPDOCX" w:semiHidden="0" w:uiPriority="62" w:unhideWhenUsed="0"/>
    <w:lsdException w:name="Medium Shading 1 Accent 3 PHPDOCX" w:semiHidden="0" w:uiPriority="63" w:unhideWhenUsed="0"/>
    <w:lsdException w:name="Medium Shading 2 Accent 3 PHPDOCX" w:semiHidden="0" w:uiPriority="64" w:unhideWhenUsed="0"/>
    <w:lsdException w:name="Medium List 1 Accent 3 PHPDOCX" w:semiHidden="0" w:uiPriority="65" w:unhideWhenUsed="0"/>
    <w:lsdException w:name="Medium List 2 Accent 3 PHPDOCX" w:semiHidden="0" w:uiPriority="66" w:unhideWhenUsed="0"/>
    <w:lsdException w:name="Medium Grid 1 Accent 3 PHPDOCX" w:semiHidden="0" w:uiPriority="67" w:unhideWhenUsed="0"/>
    <w:lsdException w:name="Medium Grid 2 Accent 3 PHPDOCX" w:semiHidden="0" w:uiPriority="68" w:unhideWhenUsed="0"/>
    <w:lsdException w:name="Medium Grid 3 Accent 3 PHPDOCX" w:semiHidden="0" w:uiPriority="69" w:unhideWhenUsed="0"/>
    <w:lsdException w:name="Dark List Accent 3 PHPDOCX" w:semiHidden="0" w:uiPriority="70" w:unhideWhenUsed="0"/>
    <w:lsdException w:name="Colorful Shading Accent 3 PHPDOCX" w:semiHidden="0" w:uiPriority="71" w:unhideWhenUsed="0"/>
    <w:lsdException w:name="Colorful List Accent 3 PHPDOCX" w:semiHidden="0" w:uiPriority="72" w:unhideWhenUsed="0"/>
    <w:lsdException w:name="Colorful Grid Accent 3 PHPDOCX" w:semiHidden="0" w:uiPriority="73" w:unhideWhenUsed="0"/>
    <w:lsdException w:name="Light Shading Accent 4 PHPDOCX" w:semiHidden="0" w:uiPriority="60" w:unhideWhenUsed="0"/>
    <w:lsdException w:name="Light List Accent 4 PHPDOCX" w:semiHidden="0" w:uiPriority="61" w:unhideWhenUsed="0"/>
    <w:lsdException w:name="Light Grid Accent 4 PHPDOCX" w:semiHidden="0" w:uiPriority="62" w:unhideWhenUsed="0"/>
    <w:lsdException w:name="Medium Shading 1 Accent 4 PHPDOCX" w:semiHidden="0" w:uiPriority="63" w:unhideWhenUsed="0"/>
    <w:lsdException w:name="Medium Shading 2 Accent 4 PHPDOCX" w:semiHidden="0" w:uiPriority="64" w:unhideWhenUsed="0"/>
    <w:lsdException w:name="Medium List 1 Accent 4 PHPDOCX" w:semiHidden="0" w:uiPriority="65" w:unhideWhenUsed="0"/>
    <w:lsdException w:name="Medium List 2 Accent 4 PHPDOCX" w:semiHidden="0" w:uiPriority="66" w:unhideWhenUsed="0"/>
    <w:lsdException w:name="Medium Grid 1 Accent 4 PHPDOCX" w:semiHidden="0" w:uiPriority="67" w:unhideWhenUsed="0"/>
    <w:lsdException w:name="Medium Grid 2 Accent 4 PHPDOCX" w:semiHidden="0" w:uiPriority="68" w:unhideWhenUsed="0"/>
    <w:lsdException w:name="Medium Grid 3 Accent 4 PHPDOCX" w:semiHidden="0" w:uiPriority="69" w:unhideWhenUsed="0"/>
    <w:lsdException w:name="Dark List Accent 4 PHPDOCX" w:semiHidden="0" w:uiPriority="70" w:unhideWhenUsed="0"/>
    <w:lsdException w:name="Colorful Shading Accent 4 PHPDOCX" w:semiHidden="0" w:uiPriority="71" w:unhideWhenUsed="0"/>
    <w:lsdException w:name="Colorful List Accent 4 PHPDOCX" w:semiHidden="0" w:uiPriority="72" w:unhideWhenUsed="0"/>
    <w:lsdException w:name="Colorful Grid Accent 4 PHPDOCX" w:semiHidden="0" w:uiPriority="73" w:unhideWhenUsed="0"/>
    <w:lsdException w:name="Light Shading Accent 5 PHPDOCX" w:semiHidden="0" w:uiPriority="60" w:unhideWhenUsed="0"/>
    <w:lsdException w:name="Light List Accent 5 PHPDOCX" w:semiHidden="0" w:uiPriority="61" w:unhideWhenUsed="0"/>
    <w:lsdException w:name="Light Grid Accent 5 PHPDOCX" w:semiHidden="0" w:uiPriority="62" w:unhideWhenUsed="0"/>
    <w:lsdException w:name="Medium Shading 1 Accent 5 PHPDOCX" w:semiHidden="0" w:uiPriority="63" w:unhideWhenUsed="0"/>
    <w:lsdException w:name="Medium Shading 2 Accent 5 PHPDOCX" w:semiHidden="0" w:uiPriority="64" w:unhideWhenUsed="0"/>
    <w:lsdException w:name="Medium List 1 Accent 5 PHPDOCX" w:semiHidden="0" w:uiPriority="65" w:unhideWhenUsed="0"/>
    <w:lsdException w:name="Medium List 2 Accent 5 PHPDOCX" w:semiHidden="0" w:uiPriority="66" w:unhideWhenUsed="0"/>
    <w:lsdException w:name="Medium Grid 1 Accent 5 PHPDOCX" w:semiHidden="0" w:uiPriority="67" w:unhideWhenUsed="0"/>
    <w:lsdException w:name="Medium Grid 2 Accent 5 PHPDOCX" w:semiHidden="0" w:uiPriority="68" w:unhideWhenUsed="0"/>
    <w:lsdException w:name="Medium Grid 3 Accent 5 PHPDOCX" w:semiHidden="0" w:uiPriority="69" w:unhideWhenUsed="0"/>
    <w:lsdException w:name="Dark List Accent 5 PHPDOCX" w:semiHidden="0" w:uiPriority="70" w:unhideWhenUsed="0"/>
    <w:lsdException w:name="Colorful Shading Accent 5 PHPDOCX" w:semiHidden="0" w:uiPriority="71" w:unhideWhenUsed="0"/>
    <w:lsdException w:name="Colorful List Accent 5 PHPDOCX" w:semiHidden="0" w:uiPriority="72" w:unhideWhenUsed="0"/>
    <w:lsdException w:name="Colorful Grid Accent 5 PHPDOCX" w:semiHidden="0" w:uiPriority="73" w:unhideWhenUsed="0"/>
    <w:lsdException w:name="Light Shading Accent 6 PHPDOCX" w:semiHidden="0" w:uiPriority="60" w:unhideWhenUsed="0"/>
    <w:lsdException w:name="Light List Accent 6 PHPDOCX" w:semiHidden="0" w:uiPriority="61" w:unhideWhenUsed="0"/>
    <w:lsdException w:name="Light Grid Accent 6 PHPDOCX" w:semiHidden="0" w:uiPriority="62" w:unhideWhenUsed="0"/>
    <w:lsdException w:name="Medium Shading 1 Accent 6 PHPDOCX" w:semiHidden="0" w:uiPriority="63" w:unhideWhenUsed="0"/>
    <w:lsdException w:name="Medium Shading 2 Accent 6 PHPDOCX" w:semiHidden="0" w:uiPriority="64" w:unhideWhenUsed="0"/>
    <w:lsdException w:name="Medium List 1 Accent 6 PHPDOCX" w:semiHidden="0" w:uiPriority="65" w:unhideWhenUsed="0"/>
    <w:lsdException w:name="Medium List 2 Accent 6 PHPDOCX" w:semiHidden="0" w:uiPriority="66" w:unhideWhenUsed="0"/>
    <w:lsdException w:name="Medium Grid 1 Accent 6 PHPDOCX" w:semiHidden="0" w:uiPriority="67" w:unhideWhenUsed="0"/>
    <w:lsdException w:name="Medium Grid 2 Accent 6 PHPDOCX" w:semiHidden="0" w:uiPriority="68" w:unhideWhenUsed="0"/>
    <w:lsdException w:name="Medium Grid 3 Accent 6 PHPDOCX" w:semiHidden="0" w:uiPriority="69" w:unhideWhenUsed="0"/>
    <w:lsdException w:name="Dark List Accent 6 PHPDOCX" w:semiHidden="0" w:uiPriority="70" w:unhideWhenUsed="0"/>
    <w:lsdException w:name="Colorful Shading Accent 6 PHPDOCX" w:semiHidden="0" w:uiPriority="71" w:unhideWhenUsed="0"/>
    <w:lsdException w:name="Colorful List Accent 6 PHPDOCX" w:semiHidden="0" w:uiPriority="72" w:unhideWhenUsed="0"/>
    <w:lsdException w:name="Colorful Grid Accent 6 PHPDOCX" w:semiHidden="0" w:uiPriority="73" w:unhideWhenUsed="0"/>
    <w:lsdException w:name="Subtle Emphasis PHPDOCX" w:semiHidden="0" w:uiPriority="19" w:unhideWhenUsed="0" w:qFormat="1"/>
    <w:lsdException w:name="Intense Emphasis PHPDOCX" w:semiHidden="0" w:uiPriority="21" w:unhideWhenUsed="0" w:qFormat="1"/>
    <w:lsdException w:name="Subtle Reference PHPDOCX" w:semiHidden="0" w:uiPriority="31" w:unhideWhenUsed="0" w:qFormat="1"/>
    <w:lsdException w:name="Intense Reference PHPDOCX" w:semiHidden="0" w:uiPriority="32" w:unhideWhenUsed="0" w:qFormat="1"/>
    <w:lsdException w:name="Book Title PHPDOCX" w:semiHidden="0" w:uiPriority="33" w:unhideWhenUsed="0" w:qFormat="1"/>
    <w:lsdException w:name="Bibliography PHPDOCX" w:uiPriority="37"/>
    <w:lsdException w:name="TOC Heading PHPDOCX" w:uiPriority="39" w:qFormat="1"/>
  </w:latentStyles>
  <w:style w:type="paragraph" w:default="1" w:styleId="Normal">
    <w:name w:val="Normal"/>
    <w:qFormat/>
    <w:rsid w:val="000F6147"/>
  </w:style>
  <w:style w:type="paragraph" w:styleId="Heading1PHPDOCX">
    <w:name w:val="Heading 1 PHPDOCX"/>
    <w:basedOn w:val="Normal"/>
    <w:next w:val="Normal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PHPDOCX">
    <w:name w:val="Heading 2 PHPDOCX"/>
    <w:basedOn w:val="Normal"/>
    <w:next w:val="Normal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PHPDOCX">
    <w:name w:val="Heading 3 PHPDOCX"/>
    <w:basedOn w:val="Normal"/>
    <w:next w:val="Normal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PHPDOCX">
    <w:name w:val="Heading 4 PHPDOCX"/>
    <w:basedOn w:val="Normal"/>
    <w:next w:val="Normal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PHPDOCX">
    <w:name w:val="Heading 5 PHPDOCX"/>
    <w:basedOn w:val="Normal"/>
    <w:next w:val="Normal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PHPDOCX">
    <w:name w:val="Heading 6 PHPDOCX"/>
    <w:basedOn w:val="Normal"/>
    <w:next w:val="Normal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PHPDOCX">
    <w:name w:val="Heading 7 PHPDOCX"/>
    <w:basedOn w:val="Normal"/>
    <w:next w:val="Normal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PHPDOCX">
    <w:name w:val="Heading 8 PHPDOCX"/>
    <w:basedOn w:val="Normal"/>
    <w:next w:val="Normal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PHPDOCX">
    <w:name w:val="Heading 9 PHPDOCX"/>
    <w:basedOn w:val="Normal"/>
    <w:next w:val="Normal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default="1" w:styleId="DefaultParagraphFontPHPDOCX">
    <w:name w:val="Default Paragraph Font PHPDOCX"/>
    <w:uiPriority w:val="1"/>
    <w:semiHidden/>
    <w:unhideWhenUsed/>
  </w:style>
  <w:style w:type="numbering" w:default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styleId="Strong PHPDOCX">
    <w:name w:val="Strong PHPDOCX"/>
    <w:basedOn w:val="DefaultParagraphFontPHPDOCX"/>
    <w:uiPriority w:val="22"/>
    <w:qFormat/>
    <w:rsid w:val="00DF064E"/>
    <w:rPr>
      <w:b/>
      <w:bCs/>
    </w:rPr>
  </w:style>
  <w:style w:type="paragraph" w:styleId="QuotePHPDOCX">
    <w:name w:val="Quote PHPDOCX"/>
    <w:basedOn w:val="Normal"/>
    <w:next w:val="Normal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styleId="IntenseQuotePHPDOCX">
    <w:name w:val="Intense Quote PHPDOCX"/>
    <w:basedOn w:val="Normal"/>
    <w:next w:val="Normal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default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omments" Target="comments.xml"/><Relationship Id="rId339662616" Type="http://schemas.microsoft.com/office/2011/relationships/commentsExtended" Target="commentsExtended.xml"/><Relationship Id="rId329370217" Type="http://schemas.microsoft.com/office/2011/relationships/people" Target="people.xml"/><Relationship Id="rId314467c52d456d942" Type="http://schemas.openxmlformats.org/officeDocument/2006/relationships/hyperlink" Target="https://www.tektorg.ru" TargetMode="External"/><Relationship Id="rId606967c52d456dac8" Type="http://schemas.openxmlformats.org/officeDocument/2006/relationships/hyperlink" Target="mailto:" TargetMode="External"/></Relationships>
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24958-CBFB-4DB0-B37D-BF649D31B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307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PHPDocX</cp:lastModifiedBy>
  <cp:revision>6</cp:revision>
  <dcterms:created xsi:type="dcterms:W3CDTF">2012-01-10T09:29:00Z</dcterms:created>
  <dcterms:modified xsi:type="dcterms:W3CDTF">2012-02-06T10:43:00Z</dcterms:modified>
</cp:coreProperties>
</file>