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8"/>
        <w:tblW w:w="3099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9"/>
      </w:tblGrid>
      <w:tr>
        <w:trPr>
          <w:trHeight w:val="1286"/>
          <w:jc w:val="right"/>
        </w:trPr>
        <w:tc>
          <w:tcPr>
            <w:tcW w:w="3099" w:type="dxa"/>
          </w:tcPr>
          <w:p>
            <w:pPr>
              <w:rPr>
                <w:rFonts w:ascii="Times New Roman" w:eastAsia="Calibri" w:hAnsi="Times New Roman" w:cs="Times New Roman"/>
                <w:color w:val="FFFFFF" w:themeColor="background1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FFFFFF" w:themeColor="background1"/>
                <w:sz w:val="24"/>
                <w:szCs w:val="24"/>
                <w:lang w:eastAsia="en-US"/>
              </w:rPr>
              <w:t>УТВЕРЖДАЮ</w:t>
            </w:r>
          </w:p>
          <w:p>
            <w:pPr>
              <w:rPr>
                <w:rFonts w:ascii="Times New Roman" w:eastAsia="Calibri" w:hAnsi="Times New Roman" w:cs="Times New Roman"/>
                <w:color w:val="FFFFFF" w:themeColor="background1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FFFFFF" w:themeColor="background1"/>
                <w:sz w:val="24"/>
                <w:szCs w:val="24"/>
                <w:lang w:eastAsia="en-US"/>
              </w:rPr>
              <w:t>Заместитель Председателя</w:t>
            </w:r>
          </w:p>
          <w:p>
            <w:pPr>
              <w:rPr>
                <w:rFonts w:ascii="Times New Roman" w:eastAsia="Calibri" w:hAnsi="Times New Roman" w:cs="Times New Roman"/>
                <w:color w:val="FFFFFF" w:themeColor="background1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FFFFFF" w:themeColor="background1"/>
                <w:sz w:val="24"/>
                <w:szCs w:val="24"/>
                <w:lang w:eastAsia="en-US"/>
              </w:rPr>
              <w:t xml:space="preserve">Центрального Закупочного </w:t>
            </w:r>
          </w:p>
          <w:p>
            <w:pPr>
              <w:rPr>
                <w:rFonts w:ascii="Times New Roman" w:eastAsia="Calibri" w:hAnsi="Times New Roman" w:cs="Times New Roman"/>
                <w:color w:val="FFFFFF" w:themeColor="background1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FFFFFF" w:themeColor="background1"/>
                <w:sz w:val="24"/>
                <w:szCs w:val="24"/>
                <w:lang w:eastAsia="en-US"/>
              </w:rPr>
              <w:t>Органа</w:t>
            </w:r>
          </w:p>
          <w:p>
            <w:pPr>
              <w:rPr>
                <w:rFonts w:ascii="Times New Roman" w:eastAsia="Calibri" w:hAnsi="Times New Roman" w:cs="Times New Roman"/>
                <w:color w:val="FFFFFF" w:themeColor="background1"/>
                <w:sz w:val="24"/>
                <w:szCs w:val="24"/>
                <w:lang w:eastAsia="en-US"/>
              </w:rPr>
            </w:pPr>
          </w:p>
          <w:p>
            <w:pPr>
              <w:rPr>
                <w:rFonts w:ascii="Times New Roman" w:eastAsia="Calibri" w:hAnsi="Times New Roman" w:cs="Times New Roman"/>
                <w:color w:val="FFFFFF" w:themeColor="background1"/>
                <w:sz w:val="24"/>
                <w:szCs w:val="24"/>
                <w:lang w:eastAsia="en-US"/>
              </w:rPr>
            </w:pPr>
          </w:p>
          <w:p>
            <w:pPr>
              <w:rPr>
                <w:rFonts w:ascii="Times New Roman" w:eastAsia="Calibri" w:hAnsi="Times New Roman" w:cs="Times New Roman"/>
                <w:color w:val="FFFFFF" w:themeColor="background1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FFFFFF" w:themeColor="background1"/>
                <w:sz w:val="24"/>
                <w:szCs w:val="24"/>
                <w:lang w:eastAsia="en-US"/>
              </w:rPr>
              <w:t xml:space="preserve"> _____________ </w:t>
            </w: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А</w:t>
            </w:r>
            <w:r>
              <w:rPr>
                <w:rFonts w:ascii="Times New Roman" w:eastAsia="Calibri" w:hAnsi="Times New Roman" w:cs="Times New Roman"/>
                <w:color w:val="FFFFFF" w:themeColor="background1"/>
                <w:sz w:val="24"/>
                <w:szCs w:val="24"/>
                <w:lang w:eastAsia="en-US"/>
              </w:rPr>
              <w:t>. С. Зарва</w:t>
            </w:r>
          </w:p>
          <w:p>
            <w:pPr>
              <w:rPr>
                <w:rFonts w:ascii="Times New Roman" w:eastAsia="Calibri" w:hAnsi="Times New Roman" w:cs="Times New Roman"/>
                <w:color w:val="FFFFFF" w:themeColor="background1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FFFFFF" w:themeColor="background1"/>
                <w:sz w:val="24"/>
                <w:szCs w:val="24"/>
                <w:lang w:eastAsia="en-US"/>
              </w:rPr>
              <w:t>«_____» ____________2025</w:t>
            </w:r>
          </w:p>
          <w:p>
            <w:pPr>
              <w:rPr>
                <w:rFonts w:ascii="Times New Roman" w:eastAsia="Calibri" w:hAnsi="Times New Roman" w:cs="Times New Roman"/>
                <w:color w:val="FFFFFF" w:themeColor="background1"/>
                <w:sz w:val="24"/>
                <w:szCs w:val="24"/>
                <w:lang w:eastAsia="en-US"/>
              </w:rPr>
            </w:pPr>
          </w:p>
        </w:tc>
      </w:tr>
    </w:tbl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Протокол</w:t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Заседания закупочной комиссии по</w:t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процедуре вскрытия заявок на участие в конкурсе в электронной форме</w:t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№22                                                             г. Краснодар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«</w:t>
      </w:r>
      <w:proofErr w:type="gramEnd"/>
      <w:r>
        <w:rPr>
          <w:rFonts w:ascii="Times New Roman" w:hAnsi="Times New Roman" w:cs="Times New Roman"/>
          <w:sz w:val="24"/>
          <w:szCs w:val="24"/>
        </w:rPr>
        <w:t>03» марта 2025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Присутствовали члены закупочной комиссии: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Кривцова И.С. – председатель закупочной комиссии, заместитель генерального директора по общим вопросам;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Шушлин Д.Б. – заместитель председателя закупочной комиссии, руководитель управления экономической безопасности;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Хадеева А.Л. – ведущий юрисконсульт отдела административной практики;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Макаренко А.Л. – главный специалист - начальник сектора поддержки бизнес-процессов управления АСУ;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Ткачев Д.Е. – начальник отдела перспективного развития;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Сидорычева М.А.  – начальник отдела закупок;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Сивакова Т.М. – секретарь закупочной комиссии (без права голоса), заместитель начальника отдела закупок.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Отсутствовали:</w:t>
      </w:r>
    </w:p>
    <w:p>
      <w:pPr>
        <w:tabs>
          <w:tab w:val="left" w:pos="993"/>
        </w:tabs>
        <w:spacing w:after="0" w:line="240" w:lineRule="auto"/>
        <w:ind w:left="142" w:hanging="142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Ильин Н.В. – директор департамента по закупкам ПАО ГК «ТНС энерго».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заседании закупочной комиссии по вскрытию заявок на участие в конкурсе в электронной форме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Поставка ГСМ (бензин, ДТ)</w:t>
      </w:r>
      <w:r>
        <w:rPr>
          <w:rFonts w:ascii="Times New Roman" w:hAnsi="Times New Roman" w:cs="Times New Roman"/>
          <w:color w:val="000000"/>
          <w:sz w:val="24"/>
          <w:szCs w:val="24"/>
        </w:rPr>
        <w:t>» присутствовали 7 из 8 человек состава закупочной комиссии. Кворум имеется, комиссия правомочна.</w:t>
      </w:r>
    </w:p>
    <w:p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tabs>
          <w:tab w:val="left" w:pos="5850"/>
        </w:tabs>
        <w:spacing w:after="0" w:line="240" w:lineRule="auto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1. Наименование закупки: «Поставка ГСМ (бензин, ДТ)».</w:t>
      </w:r>
    </w:p>
    <w:p>
      <w:pPr>
        <w:tabs>
          <w:tab w:val="left" w:pos="5850"/>
        </w:tabs>
        <w:spacing w:after="0" w:line="240" w:lineRule="auto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2. Предмет договора: «Поставка ГСМ (бензин, ДТ)».</w:t>
      </w:r>
    </w:p>
    <w:p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3. Реестровый номер закупки: 32514512707.</w:t>
      </w:r>
    </w:p>
    <w:p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4. Дата публикации извещения о проведении закупки: 13.02.2025.</w:t>
      </w:r>
    </w:p>
    <w:p>
      <w:pPr>
        <w:tabs>
          <w:tab w:val="left" w:pos="5850"/>
        </w:tabs>
        <w:spacing w:after="0" w:line="240" w:lineRule="auto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5. Сведения о начальной (предельной) цене договора:</w:t>
      </w:r>
    </w:p>
    <w:p>
      <w:pPr>
        <w:tabs>
          <w:tab w:val="left" w:pos="5850"/>
        </w:tabs>
        <w:spacing w:after="0" w:line="240" w:lineRule="auto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- 24 958 680,00 руб. (двадцать четыре миллиона девятьсот пятьдесят восемь тысяч шестьсот восемьдесят рублей 00 копеек), в том числе НДС (20%).</w:t>
      </w:r>
    </w:p>
    <w:p>
      <w:pPr>
        <w:tabs>
          <w:tab w:val="left" w:pos="5850"/>
        </w:tabs>
        <w:spacing w:after="0" w:line="240" w:lineRule="auto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6.  Срок поставки товара/оказания услуг: с момента заключения договора по 28 февраля 2026 года.</w:t>
      </w:r>
    </w:p>
    <w:p>
      <w:pPr>
        <w:tabs>
          <w:tab w:val="left" w:pos="5850"/>
        </w:tabs>
        <w:spacing w:after="0" w:line="240" w:lineRule="auto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7. Срок действия договора: с момента подписания договора по 28 февраля 2026 года.</w:t>
      </w:r>
    </w:p>
    <w:p>
      <w:pPr>
        <w:tabs>
          <w:tab w:val="left" w:pos="5850"/>
        </w:tabs>
        <w:spacing w:after="0" w:line="240" w:lineRule="auto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8. Срок исполнения договора: февраль 2026.</w:t>
      </w:r>
    </w:p>
    <w:p>
      <w:pPr>
        <w:tabs>
          <w:tab w:val="left" w:pos="5850"/>
        </w:tabs>
        <w:spacing w:after="0" w:line="240" w:lineRule="auto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9. Количество поставляемого товара/объем оказываемых услуг: </w:t>
      </w:r>
    </w:p>
    <w:p>
      <w:pPr>
        <w:tabs>
          <w:tab w:val="left" w:pos="5850"/>
        </w:tabs>
        <w:spacing w:after="0" w:line="240" w:lineRule="auto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9355" w:type="dxa"/>
        <w:jc w:val="center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843"/>
        <w:gridCol w:w="3976"/>
        <w:gridCol w:w="2268"/>
        <w:gridCol w:w="2268"/>
      </w:tblGrid>
      <w:tr>
        <w:trPr>
          <w:trHeight w:hRule="exact" w:val="368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autoSpaceDE w:val="0"/>
              <w:autoSpaceDN w:val="0"/>
              <w:adjustRightInd w:val="0"/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№ п/п</w:t>
            </w:r>
          </w:p>
        </w:tc>
        <w:tc>
          <w:tcPr>
            <w:tcW w:w="3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Наименование продукции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Ед. изм.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Количество</w:t>
            </w:r>
          </w:p>
        </w:tc>
      </w:tr>
      <w:tr>
        <w:trPr>
          <w:trHeight w:hRule="exact" w:val="298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АИ-92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л.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  <w:bCs/>
                <w:color w:val="000000"/>
              </w:rPr>
              <w:t>82 700,00</w:t>
            </w:r>
          </w:p>
        </w:tc>
      </w:tr>
      <w:tr>
        <w:trPr>
          <w:trHeight w:hRule="exact" w:val="298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АИ-95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л.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  <w:bCs/>
                <w:color w:val="000000"/>
              </w:rPr>
              <w:t>290 200,00</w:t>
            </w:r>
          </w:p>
        </w:tc>
      </w:tr>
      <w:tr>
        <w:trPr>
          <w:trHeight w:hRule="exact" w:val="304"/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Топливо дизельное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л.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  <w:bCs/>
                <w:color w:val="000000"/>
              </w:rPr>
              <w:t>13 264,00</w:t>
            </w:r>
          </w:p>
        </w:tc>
      </w:tr>
    </w:tbl>
    <w:p>
      <w:pPr>
        <w:tabs>
          <w:tab w:val="left" w:pos="5850"/>
        </w:tabs>
        <w:spacing w:after="0" w:line="240" w:lineRule="auto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tabs>
          <w:tab w:val="left" w:pos="585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10.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Место поставки товара/оказания услуг: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 адресам автозаправочных станций поставщика и их сетей, на территории Краснодарского края и Республики Адыгея, Российской Федерации, на трассах федерального значения, расположенных вблизи от населенных пунктах (Приложение №2 к Техническому заданию), в которых расположены филиалы и производственные участки Заказчика согласно Приложению №1 «Перечень населенных пунктов, в которых расположены филиалы и производственные участки ПАО «ТНС энерго Кубань» к Техническому заданию.</w:t>
      </w:r>
    </w:p>
    <w:p>
      <w:pPr>
        <w:tabs>
          <w:tab w:val="left" w:pos="585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11.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Обеспечение заявки: </w:t>
      </w:r>
      <w:r>
        <w:rPr>
          <w:rFonts w:ascii="Times New Roman" w:hAnsi="Times New Roman" w:cs="Times New Roman"/>
          <w:color w:val="000000"/>
          <w:sz w:val="24"/>
          <w:szCs w:val="24"/>
        </w:rPr>
        <w:t>1 247 934,00 руб. (один миллион двести сорок семь тысяч девятьсот тридцать четыре рубля 00 копеек).</w:t>
      </w:r>
    </w:p>
    <w:p>
      <w:pPr>
        <w:tabs>
          <w:tab w:val="left" w:pos="58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Обеспечение исполнения договора: 1 247 934,00 руб. (один миллион двести сорок семь тысяч девятьсот тридцать четыре рубля 00 копеек).</w:t>
      </w:r>
    </w:p>
    <w:p>
      <w:pPr>
        <w:tabs>
          <w:tab w:val="left" w:pos="585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13. Дата и время окончания срока подачи заявок: 03.03.2025, и время 08 часов 30</w:t>
      </w:r>
      <w:r>
        <w:rPr>
          <w:rFonts w:ascii="Times New Roman" w:hAnsi="Times New Roman" w:cs="Times New Roman"/>
          <w:sz w:val="24"/>
          <w:szCs w:val="24"/>
        </w:rPr>
        <w:t xml:space="preserve"> минут (время московское).</w:t>
      </w:r>
    </w:p>
    <w:p>
      <w:pPr>
        <w:tabs>
          <w:tab w:val="left" w:pos="5850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14. Открытие доступа к заявкам, поданным на участие в закупке, было осуществлено оператором электронной площадки в установленную извещением дату: 03.03.2025, и время 08 часов 30</w:t>
      </w:r>
      <w:r>
        <w:rPr>
          <w:rFonts w:ascii="Times New Roman" w:hAnsi="Times New Roman" w:cs="Times New Roman"/>
          <w:sz w:val="24"/>
          <w:szCs w:val="24"/>
        </w:rPr>
        <w:t xml:space="preserve"> минут (время московское).</w:t>
      </w:r>
    </w:p>
    <w:p>
      <w:pPr>
        <w:tabs>
          <w:tab w:val="left" w:pos="5850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 Процедура открытия доступа - вскрытия заявок закупочной комиссией на участие в конкурсе состоялась 03.03.2025 в 08 часов 30 минут по адресу: г. Краснодар, ул. Гимназическая 55/1 (время московское).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Вопросы, выносимые на рассмотрение закупочной комиссии: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Вопрос № 1</w:t>
      </w:r>
      <w:r>
        <w:rPr>
          <w:rFonts w:ascii="Times New Roman" w:hAnsi="Times New Roman" w:cs="Times New Roman"/>
          <w:color w:val="000000"/>
          <w:sz w:val="24"/>
          <w:szCs w:val="24"/>
        </w:rPr>
        <w:t>: Открытие доступа к электронным документам - вскрытие заявок закупочной комиссией.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>
      <w:pPr>
        <w:pStyle w:val="a9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участие в закупке поступила 1 (одна) заявка.</w:t>
      </w:r>
    </w:p>
    <w:p>
      <w:pPr>
        <w:pStyle w:val="a9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a9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открыла доступ к электронным документам следующего участника.</w:t>
      </w:r>
    </w:p>
    <w:p>
      <w:pPr>
        <w:pStyle w:val="a9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поступившей заявке:</w:t>
      </w:r>
    </w:p>
    <w:p>
      <w:pPr>
        <w:pStyle w:val="a9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8"/>
        <w:tblW w:w="9356" w:type="dxa"/>
        <w:jc w:val="center"/>
        <w:tblLayout w:type="fixed"/>
        <w:tblLook w:val="04A0" w:firstRow="1" w:lastRow="0" w:firstColumn="1" w:lastColumn="0" w:noHBand="0" w:noVBand="1"/>
      </w:tblPr>
      <w:tblGrid>
        <w:gridCol w:w="834"/>
        <w:gridCol w:w="1151"/>
        <w:gridCol w:w="1559"/>
        <w:gridCol w:w="2268"/>
        <w:gridCol w:w="1701"/>
        <w:gridCol w:w="1843"/>
      </w:tblGrid>
      <w:tr>
        <w:trPr>
          <w:jc w:val="center"/>
        </w:trPr>
        <w:tc>
          <w:tcPr>
            <w:tcW w:w="834" w:type="dxa"/>
          </w:tcPr>
          <w:p>
            <w:pPr>
              <w:pStyle w:val="a9"/>
              <w:autoSpaceDE w:val="0"/>
              <w:autoSpaceDN w:val="0"/>
              <w:adjustRightInd w:val="0"/>
              <w:ind w:left="-1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п/п</w:t>
            </w:r>
          </w:p>
          <w:p>
            <w:pPr>
              <w:pStyle w:val="a9"/>
              <w:autoSpaceDE w:val="0"/>
              <w:autoSpaceDN w:val="0"/>
              <w:adjustRightInd w:val="0"/>
              <w:ind w:left="-15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51" w:type="dxa"/>
          </w:tcPr>
          <w:p>
            <w:pPr>
              <w:pStyle w:val="a9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1559" w:type="dxa"/>
          </w:tcPr>
          <w:p>
            <w:pPr>
              <w:pStyle w:val="a9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и время регистрации заявки на ЭТП (время московское)</w:t>
            </w:r>
          </w:p>
        </w:tc>
        <w:tc>
          <w:tcPr>
            <w:tcW w:w="2268" w:type="dxa"/>
          </w:tcPr>
          <w:p>
            <w:pPr>
              <w:pStyle w:val="a9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Фирменное наименование (для юр. лиц), ФИО (для физ. лиц) участника, указанная в заявке</w:t>
            </w:r>
          </w:p>
        </w:tc>
        <w:tc>
          <w:tcPr>
            <w:tcW w:w="1701" w:type="dxa"/>
          </w:tcPr>
          <w:p>
            <w:pPr>
              <w:pStyle w:val="a9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ИНН/КПП/</w:t>
            </w:r>
          </w:p>
          <w:p>
            <w:pPr>
              <w:pStyle w:val="a9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ОГРН</w:t>
            </w:r>
          </w:p>
        </w:tc>
        <w:tc>
          <w:tcPr>
            <w:tcW w:w="1843" w:type="dxa"/>
          </w:tcPr>
          <w:p>
            <w:pPr>
              <w:pStyle w:val="a9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Юридический адрес</w:t>
            </w:r>
          </w:p>
        </w:tc>
      </w:tr>
      <w:tr>
        <w:trPr>
          <w:trHeight w:val="2453"/>
          <w:jc w:val="center"/>
        </w:trPr>
        <w:tc>
          <w:tcPr>
            <w:tcW w:w="834" w:type="dxa"/>
            <w:vAlign w:val="center"/>
          </w:tcPr>
          <w:p>
            <w:pPr>
              <w:pStyle w:val="a9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Заявка № 1</w:t>
            </w:r>
          </w:p>
        </w:tc>
        <w:tc>
          <w:tcPr>
            <w:tcW w:w="1151" w:type="dxa"/>
            <w:vAlign w:val="center"/>
          </w:tcPr>
          <w:p>
            <w:pPr>
              <w:pStyle w:val="a9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410176</w:t>
            </w:r>
          </w:p>
        </w:tc>
        <w:tc>
          <w:tcPr>
            <w:tcW w:w="1559" w:type="dxa"/>
            <w:vAlign w:val="center"/>
          </w:tcPr>
          <w:p>
            <w:pPr>
              <w:pStyle w:val="a9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02.03.2025, 23:59</w:t>
            </w:r>
          </w:p>
        </w:tc>
        <w:tc>
          <w:tcPr>
            <w:tcW w:w="2268" w:type="dxa"/>
            <w:vAlign w:val="center"/>
          </w:tcPr>
          <w:p>
            <w:pPr>
              <w:pStyle w:val="a9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>
            <w:pPr>
              <w:pStyle w:val="a9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>
            <w:pPr>
              <w:pStyle w:val="a9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>
      <w:pPr>
        <w:pStyle w:val="a9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a9"/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Документы рассматриваются по существу в порядке, предусмотренном документацией о закупке.</w:t>
      </w:r>
    </w:p>
    <w:p>
      <w:pPr>
        <w:pStyle w:val="a9"/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Информация о предоставленных документах участника закупки: документы будут рассмотрены на следующем этапе.</w:t>
      </w:r>
    </w:p>
    <w:p>
      <w:pPr>
        <w:pStyle w:val="a9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Оценка и рассмотрение заявок на данном этапе не предусмотрены.</w:t>
      </w:r>
    </w:p>
    <w:p>
      <w:pPr>
        <w:pStyle w:val="a9"/>
        <w:tabs>
          <w:tab w:val="left" w:pos="6225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>
      <w:pPr>
        <w:pStyle w:val="a9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Решили по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вопросу №1:</w:t>
      </w:r>
    </w:p>
    <w:p>
      <w:pPr>
        <w:pStyle w:val="a9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>
      <w:pPr>
        <w:pStyle w:val="a9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Опубликовать настоящий протокол в единой информационной системе в сфере закупок и на электронной торговой площадке в срок, установленный действующим законодательством РФ.</w:t>
      </w: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голосования:</w:t>
      </w: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«За» - 6</w:t>
      </w: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«Против» - 0</w:t>
      </w:r>
    </w:p>
    <w:tbl>
      <w:tblPr>
        <w:tblpPr w:leftFromText="180" w:rightFromText="180" w:vertAnchor="text" w:horzAnchor="margin" w:tblpY="623"/>
        <w:tblW w:w="9577" w:type="dxa"/>
        <w:tblLayout w:type="fixed"/>
        <w:tblLook w:val="0000" w:firstRow="0" w:lastRow="0" w:firstColumn="0" w:lastColumn="0" w:noHBand="0" w:noVBand="0"/>
      </w:tblPr>
      <w:tblGrid>
        <w:gridCol w:w="7050"/>
        <w:gridCol w:w="2527"/>
      </w:tblGrid>
      <w:tr>
        <w:trPr>
          <w:trHeight w:val="3702"/>
        </w:trPr>
        <w:tc>
          <w:tcPr>
            <w:tcW w:w="7050" w:type="dxa"/>
          </w:tcPr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  <w:t>Подписи присутствующих членов комиссии:</w:t>
            </w:r>
          </w:p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</w:p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  <w:t>Кривцова И.С.</w:t>
            </w:r>
          </w:p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</w:p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  <w:t>Шушлин Д.Б.</w:t>
            </w:r>
          </w:p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</w:p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  <w:t>Хадеева А.Л.</w:t>
            </w:r>
          </w:p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</w:p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  <w:t>Макаренко А.Л.</w:t>
            </w:r>
          </w:p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</w:p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  <w:t>Ткачев Д.Е.</w:t>
            </w:r>
          </w:p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</w:p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  <w:t>Сидорычева М.А.</w:t>
            </w:r>
          </w:p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  <w:t>Сивакова Т.М. (без права голоса)</w:t>
            </w:r>
          </w:p>
        </w:tc>
        <w:tc>
          <w:tcPr>
            <w:tcW w:w="2527" w:type="dxa"/>
          </w:tcPr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</w:p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</w:p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  <w:t>_________________</w:t>
            </w:r>
          </w:p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</w:p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  <w:t>_________________</w:t>
            </w:r>
          </w:p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</w:p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  <w:t>_________________</w:t>
            </w:r>
          </w:p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</w:p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  <w:t>_________________</w:t>
            </w:r>
          </w:p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</w:p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  <w:t>_________________</w:t>
            </w:r>
          </w:p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</w:p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  <w:t>_________________</w:t>
            </w:r>
          </w:p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</w:p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  <w:t>_________________</w:t>
            </w:r>
          </w:p>
          <w:p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00"/>
                <w:sz w:val="24"/>
                <w:szCs w:val="24"/>
              </w:rPr>
            </w:pPr>
          </w:p>
        </w:tc>
      </w:tr>
    </w:tbl>
    <w:p>
      <w:pPr>
        <w:tabs>
          <w:tab w:val="left" w:pos="6150"/>
        </w:tabs>
        <w:rPr>
          <w:rFonts w:ascii="Times New Roman" w:hAnsi="Times New Roman" w:cs="Times New Roman"/>
          <w:sz w:val="24"/>
          <w:szCs w:val="24"/>
        </w:rPr>
      </w:pPr>
    </w:p>
    <w:sectPr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4654953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highlight w:val="yellow"/>
      </w:rPr>
    </w:sdtEndPr>
    <w:sdtContent>
      <w:p>
        <w:pPr>
          <w:pStyle w:val="a4"/>
          <w:jc w:val="center"/>
          <w:rPr>
            <w:rFonts w:ascii="Times New Roman" w:hAnsi="Times New Roman" w:cs="Times New Roman"/>
            <w:sz w:val="20"/>
          </w:rPr>
        </w:pPr>
        <w:r>
          <w:rPr>
            <w:rFonts w:ascii="Times New Roman" w:hAnsi="Times New Roman" w:cs="Times New Roman"/>
            <w:sz w:val="20"/>
          </w:rPr>
          <w:fldChar w:fldCharType="begin"/>
        </w:r>
        <w:r>
          <w:rPr>
            <w:rFonts w:ascii="Times New Roman" w:hAnsi="Times New Roman" w:cs="Times New Roman"/>
            <w:sz w:val="20"/>
          </w:rPr>
          <w:instrText>PAGE   \* MERGEFORMAT</w:instrText>
        </w:r>
        <w:r>
          <w:rPr>
            <w:rFonts w:ascii="Times New Roman" w:hAnsi="Times New Roman" w:cs="Times New Roman"/>
            <w:sz w:val="20"/>
          </w:rPr>
          <w:fldChar w:fldCharType="separate"/>
        </w:r>
        <w:r>
          <w:rPr>
            <w:rFonts w:ascii="Times New Roman" w:hAnsi="Times New Roman" w:cs="Times New Roman"/>
            <w:noProof/>
            <w:sz w:val="20"/>
          </w:rPr>
          <w:t>2</w:t>
        </w:r>
        <w:r>
          <w:rPr>
            <w:rFonts w:ascii="Times New Roman" w:hAnsi="Times New Roman" w:cs="Times New Roman"/>
            <w:sz w:val="20"/>
          </w:rPr>
          <w:fldChar w:fldCharType="end"/>
        </w:r>
        <w:r>
          <w:rPr>
            <w:rFonts w:ascii="Times New Roman" w:hAnsi="Times New Roman" w:cs="Times New Roman"/>
            <w:sz w:val="20"/>
          </w:rPr>
          <w:t xml:space="preserve"> к Протоколу от 03.03.2025 № 22</w:t>
        </w:r>
      </w:p>
    </w:sdtContent>
  </w:sdt>
  <w:p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1C31F7"/>
    <w:multiLevelType w:val="hybridMultilevel"/>
    <w:tmpl w:val="20DE6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5F6735"/>
    <w:multiLevelType w:val="hybridMultilevel"/>
    <w:tmpl w:val="72545D8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697D65"/>
    <w:multiLevelType w:val="hybridMultilevel"/>
    <w:tmpl w:val="D1BEF7D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84F2761"/>
    <w:multiLevelType w:val="hybridMultilevel"/>
    <w:tmpl w:val="F0BCF1B8"/>
    <w:lvl w:ilvl="0" w:tplc="69DCB2D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C84126"/>
    <w:multiLevelType w:val="multilevel"/>
    <w:tmpl w:val="C6A8BD00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isLgl/>
      <w:lvlText w:val="%1.%2."/>
      <w:lvlJc w:val="left"/>
      <w:pPr>
        <w:ind w:left="1004" w:hanging="720"/>
      </w:pPr>
    </w:lvl>
    <w:lvl w:ilvl="2">
      <w:start w:val="1"/>
      <w:numFmt w:val="decimal"/>
      <w:isLgl/>
      <w:lvlText w:val="%1.%2.%3."/>
      <w:lvlJc w:val="left"/>
      <w:pPr>
        <w:ind w:left="1108" w:hanging="720"/>
      </w:pPr>
    </w:lvl>
    <w:lvl w:ilvl="3">
      <w:start w:val="1"/>
      <w:numFmt w:val="decimal"/>
      <w:isLgl/>
      <w:lvlText w:val="%1.%2.%3.%4."/>
      <w:lvlJc w:val="left"/>
      <w:pPr>
        <w:ind w:left="1572" w:hanging="1080"/>
      </w:pPr>
    </w:lvl>
    <w:lvl w:ilvl="4">
      <w:start w:val="1"/>
      <w:numFmt w:val="decimal"/>
      <w:isLgl/>
      <w:lvlText w:val="%1.%2.%3.%4.%5."/>
      <w:lvlJc w:val="left"/>
      <w:pPr>
        <w:ind w:left="1676" w:hanging="1080"/>
      </w:pPr>
    </w:lvl>
    <w:lvl w:ilvl="5">
      <w:start w:val="1"/>
      <w:numFmt w:val="decimal"/>
      <w:isLgl/>
      <w:lvlText w:val="%1.%2.%3.%4.%5.%6."/>
      <w:lvlJc w:val="left"/>
      <w:pPr>
        <w:ind w:left="2140" w:hanging="1440"/>
      </w:pPr>
    </w:lvl>
    <w:lvl w:ilvl="6">
      <w:start w:val="1"/>
      <w:numFmt w:val="decimal"/>
      <w:isLgl/>
      <w:lvlText w:val="%1.%2.%3.%4.%5.%6.%7."/>
      <w:lvlJc w:val="left"/>
      <w:pPr>
        <w:ind w:left="2244" w:hanging="1440"/>
      </w:pPr>
    </w:lvl>
    <w:lvl w:ilvl="7">
      <w:start w:val="1"/>
      <w:numFmt w:val="decimal"/>
      <w:isLgl/>
      <w:lvlText w:val="%1.%2.%3.%4.%5.%6.%7.%8."/>
      <w:lvlJc w:val="left"/>
      <w:pPr>
        <w:ind w:left="2708" w:hanging="1800"/>
      </w:pPr>
    </w:lvl>
    <w:lvl w:ilvl="8">
      <w:start w:val="1"/>
      <w:numFmt w:val="decimal"/>
      <w:isLgl/>
      <w:lvlText w:val="%1.%2.%3.%4.%5.%6.%7.%8.%9."/>
      <w:lvlJc w:val="left"/>
      <w:pPr>
        <w:ind w:left="2812" w:hanging="1800"/>
      </w:pPr>
    </w:lvl>
  </w:abstractNum>
  <w:abstractNum w:abstractNumId="5" w15:restartNumberingAfterBreak="0">
    <w:nsid w:val="5B1F0187"/>
    <w:multiLevelType w:val="hybridMultilevel"/>
    <w:tmpl w:val="0BEE0830"/>
    <w:lvl w:ilvl="0" w:tplc="AB927D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AC6B1B"/>
    <w:multiLevelType w:val="hybridMultilevel"/>
    <w:tmpl w:val="138055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836599"/>
    <w:multiLevelType w:val="hybridMultilevel"/>
    <w:tmpl w:val="B31E24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CF2944"/>
    <w:multiLevelType w:val="hybridMultilevel"/>
    <w:tmpl w:val="4BFA40FC"/>
    <w:lvl w:ilvl="0" w:tplc="AB927D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E32AB8"/>
    <w:multiLevelType w:val="hybridMultilevel"/>
    <w:tmpl w:val="B2B446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923A19"/>
    <w:multiLevelType w:val="hybridMultilevel"/>
    <w:tmpl w:val="93D27958"/>
    <w:lvl w:ilvl="0" w:tplc="C9F2041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10"/>
  </w:num>
  <w:num w:numId="5">
    <w:abstractNumId w:val="6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5:docId w15:val="{0022DF8F-5355-4DEA-8AC0-2EB385BE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paragraph" w:styleId="a4">
    <w:name w:val="footer"/>
    <w:basedOn w:val="a"/>
    <w:link w:val="a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Pr>
      <w:rFonts w:eastAsiaTheme="minorEastAsia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Pr>
      <w:rFonts w:ascii="Segoe UI" w:eastAsiaTheme="minorEastAsia" w:hAnsi="Segoe UI" w:cs="Segoe UI"/>
      <w:sz w:val="18"/>
      <w:szCs w:val="18"/>
      <w:lang w:eastAsia="ru-RU"/>
    </w:rPr>
  </w:style>
  <w:style w:type="table" w:styleId="a8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aliases w:val="Bullet List,FooterText,numbered"/>
    <w:basedOn w:val="a"/>
    <w:link w:val="aa"/>
    <w:uiPriority w:val="34"/>
    <w:qFormat/>
    <w:pPr>
      <w:ind w:left="720"/>
      <w:contextualSpacing/>
    </w:pPr>
  </w:style>
  <w:style w:type="character" w:customStyle="1" w:styleId="aa">
    <w:name w:val="Абзац списка Знак"/>
    <w:aliases w:val="Bullet List Знак,FooterText Знак,numbered Знак"/>
    <w:basedOn w:val="a0"/>
    <w:link w:val="a9"/>
    <w:uiPriority w:val="34"/>
    <w:rPr>
      <w:rFonts w:eastAsiaTheme="minorEastAsia"/>
      <w:lang w:eastAsia="ru-RU"/>
    </w:rPr>
  </w:style>
  <w:style w:type="table" w:customStyle="1" w:styleId="1">
    <w:name w:val="Сетка таблицы1"/>
    <w:basedOn w:val="a1"/>
    <w:next w:val="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8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8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0B1B59-B6C4-41F0-9E70-F385D2E4A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1891</TotalTime>
  <Pages>3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Матвеева Лариса Владимировна</dc:creator>
  <cp:lastModifiedBy>Сивакова Татьяна Михайловна</cp:lastModifiedBy>
  <cp:revision>199</cp:revision>
  <cp:lastPrinted>2025-03-03T08:22:00Z</cp:lastPrinted>
  <dcterms:created xsi:type="dcterms:W3CDTF">2018-06-27T11:49:00Z</dcterms:created>
  <dcterms:modified xsi:type="dcterms:W3CDTF">2025-03-03T08:30:00Z</dcterms:modified>
</cp:coreProperties>
</file>