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media/image1.jpeg" ContentType="image/jpe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2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946"/>
        <w:gridCol w:w="2977"/>
        <w:gridCol w:w="2977"/>
      </w:tblGrid>
      <w:tr>
        <w:trPr>
          <w:trHeight w:val="989" w:hRule="atLeast"/>
        </w:trPr>
        <w:tc>
          <w:tcPr>
            <w:tcW w:w="6946" w:type="dxa"/>
            <w:tcBorders/>
          </w:tcPr>
          <w:p>
            <w:pPr>
              <w:pStyle w:val="Normal"/>
              <w:spacing w:before="0" w:after="0"/>
              <w:contextualSpacing/>
              <w:rPr>
                <w:rFonts w:ascii="PF Din Text Cond Pro Light" w:hAnsi="PF Din Text Cond Pro Light" w:cs="PF Din Text Cond Pro Light"/>
              </w:rPr>
            </w:pPr>
            <w:r>
              <w:drawing>
                <wp:anchor behindDoc="1" distT="0" distB="0" distL="114935" distR="114935" simplePos="0" locked="0" layoutInCell="1" allowOverlap="1" relativeHeight="2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13335</wp:posOffset>
                  </wp:positionV>
                  <wp:extent cx="1828165" cy="562610"/>
                  <wp:effectExtent l="0" t="0" r="0" b="0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8517" t="27043" r="-18" b="328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165" cy="5626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/>
              <w:tab/>
            </w:r>
          </w:p>
          <w:p>
            <w:pPr>
              <w:pStyle w:val="Normal"/>
              <w:spacing w:before="0" w:after="0"/>
              <w:ind w:hanging="0" w:end="0"/>
              <w:contextualSpacing/>
              <w:rPr>
                <w:rFonts w:ascii="PF Din Text Cond Pro Light" w:hAnsi="PF Din Text Cond Pro Light" w:cs="PF Din Text Cond Pro Light"/>
              </w:rPr>
            </w:pPr>
            <w:r>
              <w:rPr>
                <w:rFonts w:cs="PF Din Text Cond Pro Light" w:ascii="PF Din Text Cond Pro Light" w:hAnsi="PF Din Text Cond Pro Light"/>
              </w:rPr>
            </w:r>
          </w:p>
        </w:tc>
        <w:tc>
          <w:tcPr>
            <w:tcW w:w="2977" w:type="dxa"/>
            <w:tcBorders/>
          </w:tcPr>
          <w:p>
            <w:pPr>
              <w:pStyle w:val="Normal"/>
              <w:spacing w:lineRule="auto" w:line="240" w:before="0" w:after="0"/>
              <w:ind w:hanging="0" w:start="176" w:end="0"/>
              <w:contextualSpacing/>
              <w:jc w:val="start"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>Публичное акционерное общество</w:t>
            </w:r>
          </w:p>
          <w:p>
            <w:pPr>
              <w:pStyle w:val="Normal"/>
              <w:spacing w:lineRule="auto" w:line="240" w:before="0" w:after="0"/>
              <w:ind w:hanging="0" w:start="176" w:end="0"/>
              <w:contextualSpacing/>
              <w:jc w:val="start"/>
              <w:rPr/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>«Россети Центр»</w:t>
            </w:r>
          </w:p>
        </w:tc>
        <w:tc>
          <w:tcPr>
            <w:tcW w:w="2977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ind w:hanging="0" w:start="176" w:end="0"/>
              <w:contextualSpacing/>
              <w:jc w:val="start"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</w:r>
          </w:p>
        </w:tc>
      </w:tr>
    </w:tbl>
    <w:p>
      <w:pPr>
        <w:pStyle w:val="Style35"/>
        <w:spacing w:lineRule="auto" w:line="240"/>
        <w:jc w:val="center"/>
        <w:rPr>
          <w:rFonts w:ascii="Helios" w:hAnsi="Helios" w:cs="Helios-Regular;Times New Roman"/>
          <w:caps/>
          <w:spacing w:val="40"/>
          <w:sz w:val="20"/>
          <w:szCs w:val="20"/>
        </w:rPr>
      </w:pPr>
      <w:r>
        <w:rPr>
          <w:rFonts w:cs="PF Din Text Cond Pro Light" w:ascii="PF Din Text Cond Pro Light" w:hAnsi="PF Din Text Cond Pro Light"/>
          <w:sz w:val="20"/>
          <w:szCs w:val="20"/>
        </w:rPr>
        <w:t>ПРОТОКОЛ</w:t>
      </w:r>
    </w:p>
    <w:p>
      <w:pPr>
        <w:pStyle w:val="Style35"/>
        <w:spacing w:lineRule="auto" w:line="240"/>
        <w:jc w:val="center"/>
        <w:rPr>
          <w:rFonts w:ascii="PF Din Text Cond Pro Light" w:hAnsi="PF Din Text Cond Pro Light" w:cs="PF Din Text Cond Pro Light"/>
          <w:sz w:val="20"/>
          <w:szCs w:val="20"/>
        </w:rPr>
      </w:pPr>
      <w:r>
        <w:rPr>
          <w:rFonts w:cs="PF Din Text Cond Pro Light" w:ascii="PF Din Text Cond Pro Light" w:hAnsi="PF Din Text Cond Pro Light"/>
          <w:sz w:val="20"/>
          <w:szCs w:val="20"/>
        </w:rPr>
        <w:t xml:space="preserve">очно-заочного заседания Закупочной комиссии по рассмотрению </w:t>
      </w:r>
    </w:p>
    <w:p>
      <w:pPr>
        <w:pStyle w:val="Style35"/>
        <w:spacing w:lineRule="auto" w:line="240"/>
        <w:jc w:val="center"/>
        <w:rPr/>
      </w:pPr>
      <w:r>
        <w:rPr>
          <w:rFonts w:cs="PF Din Text Cond Pro Light" w:ascii="PF Din Text Cond Pro Light" w:hAnsi="PF Din Text Cond Pro Light"/>
          <w:sz w:val="20"/>
          <w:szCs w:val="20"/>
        </w:rPr>
        <w:t>ценовых предложений участников и подведению итогов закупочной процедуры</w:t>
      </w:r>
    </w:p>
    <w:p>
      <w:pPr>
        <w:pStyle w:val="Style35"/>
        <w:spacing w:lineRule="auto" w:line="240"/>
        <w:jc w:val="center"/>
        <w:rPr>
          <w:rFonts w:ascii="Helios" w:hAnsi="Helios" w:cs="Helios-Regular;Times New Roman"/>
          <w:sz w:val="20"/>
          <w:szCs w:val="20"/>
        </w:rPr>
      </w:pPr>
      <w:r>
        <w:rPr>
          <w:rFonts w:cs="Helios-Regular;Times New Roman" w:ascii="Helios" w:hAnsi="Helios"/>
          <w:sz w:val="20"/>
          <w:szCs w:val="20"/>
        </w:rPr>
      </w:r>
    </w:p>
    <w:tbl>
      <w:tblPr>
        <w:tblW w:w="1031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27"/>
        <w:gridCol w:w="5387"/>
      </w:tblGrid>
      <w:tr>
        <w:trPr>
          <w:trHeight w:val="664" w:hRule="atLeast"/>
        </w:trPr>
        <w:tc>
          <w:tcPr>
            <w:tcW w:w="4927" w:type="dxa"/>
            <w:tcBorders/>
          </w:tcPr>
          <w:p>
            <w:pPr>
              <w:pStyle w:val="Style35"/>
              <w:rPr>
                <w:rFonts w:ascii="PF Din Text Cond Pro Light" w:hAnsi="PF Din Text Cond Pro Light" w:cs="PF Din Text Cond Pro Light"/>
                <w:sz w:val="20"/>
                <w:szCs w:val="20"/>
              </w:rPr>
            </w:pPr>
            <w:r>
              <w:rPr>
                <w:rFonts w:cs="PF Din Text Cond Pro Light" w:ascii="PF Din Text Cond Pro Light" w:hAnsi="PF Din Text Cond Pro Light"/>
                <w:sz w:val="20"/>
                <w:szCs w:val="20"/>
              </w:rPr>
              <w:t>Дата проведения заседания: 15.12.2025</w:t>
            </w:r>
          </w:p>
          <w:p>
            <w:pPr>
              <w:pStyle w:val="Style35"/>
              <w:rPr>
                <w:rFonts w:ascii="PF Din Text Cond Pro Light" w:hAnsi="PF Din Text Cond Pro Light" w:cs="PF Din Text Cond Pro Light"/>
                <w:sz w:val="20"/>
                <w:szCs w:val="20"/>
              </w:rPr>
            </w:pPr>
            <w:r>
              <w:rPr>
                <w:rFonts w:cs="PF Din Text Cond Pro Light" w:ascii="PF Din Text Cond Pro Light" w:hAnsi="PF Din Text Cond Pro Light"/>
                <w:sz w:val="20"/>
                <w:szCs w:val="20"/>
              </w:rPr>
              <w:t>Дата подписания протокола: 15.12.2025</w:t>
            </w:r>
          </w:p>
        </w:tc>
        <w:tc>
          <w:tcPr>
            <w:tcW w:w="5387" w:type="dxa"/>
            <w:tcBorders/>
            <w:vAlign w:val="center"/>
          </w:tcPr>
          <w:p>
            <w:pPr>
              <w:pStyle w:val="Style35"/>
              <w:jc w:val="end"/>
              <w:rPr/>
            </w:pPr>
            <w:r>
              <w:rPr>
                <w:rFonts w:cs="PF Din Text Cond Pro Light" w:ascii="PF Din Text Cond Pro Light" w:hAnsi="PF Din Text Cond Pro Light"/>
                <w:sz w:val="20"/>
                <w:szCs w:val="20"/>
              </w:rPr>
              <w:t xml:space="preserve">№ </w:t>
            </w:r>
            <w:r>
              <w:rPr>
                <w:rFonts w:cs="PF Din Text Cond Pro Light" w:ascii="PF Din Text Cond Pro Light" w:hAnsi="PF Din Text Cond Pro Light"/>
                <w:sz w:val="20"/>
                <w:szCs w:val="20"/>
              </w:rPr>
              <w:t>0276-БР-25-2</w:t>
            </w:r>
          </w:p>
        </w:tc>
      </w:tr>
    </w:tbl>
    <w:p>
      <w:pPr>
        <w:pStyle w:val="Style35"/>
        <w:jc w:val="center"/>
        <w:rPr/>
      </w:pPr>
      <w:r>
        <w:rPr>
          <w:rFonts w:cs="PF Din Text Cond Pro Light" w:ascii="PF Din Text Cond Pro Light" w:hAnsi="PF Din Text Cond Pro Light"/>
          <w:sz w:val="20"/>
          <w:szCs w:val="20"/>
        </w:rPr>
        <w:t>Брянск</w:t>
      </w:r>
      <w:r>
        <w:rPr>
          <w:rFonts w:cs="Helios-Regular;Times New Roman" w:ascii="Helios" w:hAnsi="Helios"/>
          <w:sz w:val="20"/>
          <w:szCs w:val="20"/>
        </w:rPr>
        <w:t xml:space="preserve">  </w:t>
      </w:r>
    </w:p>
    <w:p>
      <w:pPr>
        <w:pStyle w:val="BodyText"/>
        <w:widowControl w:val="false"/>
        <w:ind w:end="-6"/>
        <w:jc w:val="both"/>
        <w:rPr>
          <w:b/>
          <w:caps/>
          <w:sz w:val="20"/>
          <w:szCs w:val="20"/>
        </w:rPr>
      </w:pPr>
      <w:r>
        <w:rPr>
          <w:b/>
          <w:caps/>
          <w:sz w:val="20"/>
          <w:szCs w:val="20"/>
        </w:rPr>
        <w:t xml:space="preserve"> </w:t>
      </w:r>
    </w:p>
    <w:p>
      <w:pPr>
        <w:pStyle w:val="Normal"/>
        <w:widowControl w:val="false"/>
        <w:suppressAutoHyphens w:val="true"/>
        <w:spacing w:lineRule="auto" w:line="240"/>
        <w:ind w:firstLine="426" w:end="0"/>
        <w:rPr/>
      </w:pPr>
      <w:r>
        <w:rPr>
          <w:b/>
          <w:caps/>
          <w:sz w:val="20"/>
        </w:rPr>
        <w:t>способ и</w:t>
      </w:r>
      <w:r>
        <w:rPr>
          <w:sz w:val="20"/>
        </w:rPr>
        <w:t xml:space="preserve"> </w:t>
      </w:r>
      <w:r>
        <w:rPr>
          <w:b/>
          <w:caps/>
          <w:sz w:val="20"/>
        </w:rPr>
        <w:t xml:space="preserve">ПРЕДМЕТ закупки: </w:t>
      </w:r>
      <w:r>
        <w:rPr>
          <w:sz w:val="20"/>
        </w:rPr>
        <w:t xml:space="preserve">запрос цен по результатам конкурентного предварительного отбора на право заключения Договора </w:t>
      </w:r>
      <w:r>
        <w:rPr>
          <w:bCs/>
          <w:iCs/>
          <w:sz w:val="20"/>
        </w:rPr>
        <w:t xml:space="preserve">на </w:t>
      </w:r>
      <w:r>
        <w:rPr>
          <w:rFonts w:cs="Courier New"/>
          <w:sz w:val="20"/>
        </w:rPr>
        <w:t xml:space="preserve">выполнение работ по проектированию и строительству объекта: «Строительство: КЛ 0,4кВ» для обеспечения технологического присоединения энергопринимающих устройств: административное здание по адресу: Брянская обл., Карачевский р-н, г. Карачев, ул. Советская, д. 53, (Филиал в Брянской и Орловской областях ПАО «Ростелеком») </w:t>
      </w:r>
      <w:r>
        <w:rPr>
          <w:bCs/>
          <w:iCs/>
          <w:sz w:val="20"/>
        </w:rPr>
        <w:t>для нужд ПАО «Россети Центр» (филиала «Брянскэнерго»)</w:t>
      </w:r>
      <w:r>
        <w:rPr>
          <w:sz w:val="20"/>
        </w:rPr>
        <w:t>.</w:t>
      </w:r>
    </w:p>
    <w:p>
      <w:pPr>
        <w:pStyle w:val="Style23"/>
        <w:widowControl w:val="false"/>
        <w:tabs>
          <w:tab w:val="left" w:pos="567" w:leader="none"/>
        </w:tabs>
        <w:spacing w:lineRule="auto" w:line="240"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yle23"/>
        <w:widowControl w:val="false"/>
        <w:tabs>
          <w:tab w:val="left" w:pos="567" w:leader="none"/>
        </w:tabs>
        <w:spacing w:lineRule="auto" w:line="240"/>
        <w:ind w:firstLine="426" w:end="0"/>
        <w:rPr/>
      </w:pPr>
      <w:r>
        <w:rPr>
          <w:sz w:val="20"/>
          <w:szCs w:val="20"/>
        </w:rPr>
        <w:t>Запрос цен проводится на основании Распоряжения от 21.11.2025 года № БР-28/0276-р/з.</w:t>
      </w:r>
    </w:p>
    <w:p>
      <w:pPr>
        <w:pStyle w:val="Style23"/>
        <w:widowControl w:val="false"/>
        <w:tabs>
          <w:tab w:val="left" w:pos="567" w:leader="none"/>
        </w:tabs>
        <w:spacing w:lineRule="auto" w:line="240"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ind w:end="-6"/>
        <w:jc w:val="both"/>
        <w:rPr/>
      </w:pPr>
      <w:r>
        <w:rPr>
          <w:b/>
          <w:sz w:val="20"/>
          <w:szCs w:val="20"/>
        </w:rPr>
        <w:t xml:space="preserve">Заказчик и Организатор закупки (далее – Организатор): </w:t>
      </w:r>
      <w:r>
        <w:rPr>
          <w:sz w:val="20"/>
          <w:szCs w:val="20"/>
        </w:rPr>
        <w:t>ПАО «Россети Центр», расположенное по адресу: РФ, 119017, г. Москва, ул. Малая Ордынка, д. 15.</w:t>
      </w:r>
    </w:p>
    <w:p>
      <w:pPr>
        <w:pStyle w:val="BodyText"/>
        <w:ind w:end="-6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pacing w:lineRule="auto" w:line="240"/>
        <w:ind w:firstLine="426" w:end="0"/>
        <w:rPr/>
      </w:pPr>
      <w:r>
        <w:rPr>
          <w:sz w:val="20"/>
        </w:rPr>
        <w:t xml:space="preserve">Извещение о проведении запроса цен было разработано Организатором, утверждено протоколом заседания Закупочной комиссии от 21.11.2025 года № 0276-БР-25, опубликовано 21.11.2025 года на официальном сайте Единой информационной системы в сфере закупок, на сайте Электронной торговой площадки Российского аукционного дома (РАД) </w:t>
      </w:r>
      <w:hyperlink r:id="rId3">
        <w:r>
          <w:rPr>
            <w:rStyle w:val="Hyperlink"/>
            <w:sz w:val="20"/>
            <w:lang w:val="en-US"/>
          </w:rPr>
          <w:t>www</w:t>
        </w:r>
        <w:r>
          <w:rPr>
            <w:rStyle w:val="Hyperlink"/>
            <w:sz w:val="20"/>
          </w:rPr>
          <w:t>.tender.lot-online.ru</w:t>
        </w:r>
      </w:hyperlink>
      <w:r>
        <w:rPr>
          <w:sz w:val="20"/>
        </w:rPr>
        <w:t xml:space="preserve"> (далее ЭТП)</w:t>
      </w:r>
      <w:r>
        <w:rPr>
          <w:rStyle w:val="Hyperlink"/>
          <w:color w:val="000000"/>
          <w:sz w:val="20"/>
          <w:u w:val="none"/>
        </w:rPr>
        <w:t>:</w:t>
      </w:r>
      <w:r>
        <w:rPr>
          <w:rStyle w:val="Hyperlink"/>
          <w:sz w:val="20"/>
          <w:u w:val="none"/>
        </w:rPr>
        <w:t xml:space="preserve"> </w:t>
      </w:r>
      <w:r>
        <w:rPr>
          <w:sz w:val="20"/>
        </w:rPr>
        <w:t xml:space="preserve">№ 32515430872, на сайте ПАО «Россети Центр» </w:t>
      </w:r>
      <w:hyperlink r:id="rId4">
        <w:r>
          <w:rPr>
            <w:rStyle w:val="Hyperlink"/>
            <w:sz w:val="20"/>
          </w:rPr>
          <w:t>www.mrsk-1.ru</w:t>
        </w:r>
      </w:hyperlink>
      <w:r>
        <w:rPr>
          <w:sz w:val="20"/>
        </w:rPr>
        <w:t xml:space="preserve"> в разделе «Закупки». </w:t>
      </w:r>
      <w:bookmarkStart w:id="0" w:name="_Ref277337881"/>
      <w:bookmarkStart w:id="1" w:name="_Ref57670139"/>
    </w:p>
    <w:p>
      <w:pPr>
        <w:pStyle w:val="Normal"/>
        <w:spacing w:lineRule="auto" w:line="240"/>
        <w:ind w:firstLine="426" w:end="0"/>
        <w:rPr/>
      </w:pPr>
      <w:r>
        <w:rPr>
          <w:sz w:val="20"/>
          <w:lang w:val="en-US"/>
        </w:rPr>
        <w:t xml:space="preserve">В соответствии с </w:t>
      </w:r>
      <w:r>
        <w:rPr>
          <w:sz w:val="20"/>
        </w:rPr>
        <w:t>извещением</w:t>
      </w:r>
      <w:r>
        <w:rPr>
          <w:sz w:val="20"/>
          <w:lang w:val="en-US"/>
        </w:rPr>
        <w:t xml:space="preserve"> о проведении </w:t>
      </w:r>
      <w:r>
        <w:rPr>
          <w:sz w:val="20"/>
        </w:rPr>
        <w:t>запроса цен:</w:t>
      </w:r>
    </w:p>
    <w:p>
      <w:pPr>
        <w:pStyle w:val="Normal"/>
        <w:autoSpaceDE w:val="false"/>
        <w:spacing w:lineRule="auto" w:line="240" w:before="40" w:after="0"/>
        <w:rPr>
          <w:b/>
          <w:bCs/>
          <w:iCs/>
          <w:sz w:val="20"/>
          <w:shd w:fill="FFFF99" w:val="clear"/>
        </w:rPr>
      </w:pPr>
      <w:r>
        <w:rPr>
          <w:sz w:val="20"/>
        </w:rPr>
        <w:t xml:space="preserve">- </w:t>
      </w:r>
      <w:r>
        <w:rPr>
          <w:sz w:val="20"/>
          <w:lang w:val="en-US"/>
        </w:rPr>
        <w:t>начальная (</w:t>
      </w:r>
      <w:bookmarkEnd w:id="1"/>
      <w:r>
        <w:rPr>
          <w:sz w:val="20"/>
          <w:lang w:val="en-US"/>
        </w:rPr>
        <w:t xml:space="preserve">максимальная) цена </w:t>
      </w:r>
      <w:r>
        <w:rPr>
          <w:sz w:val="20"/>
        </w:rPr>
        <w:t xml:space="preserve">Договора </w:t>
      </w:r>
      <w:r>
        <w:rPr>
          <w:sz w:val="20"/>
          <w:lang w:val="en-US"/>
        </w:rPr>
        <w:t>составляет:</w:t>
      </w:r>
      <w:bookmarkEnd w:id="0"/>
      <w:r>
        <w:rPr>
          <w:sz w:val="20"/>
        </w:rPr>
        <w:t xml:space="preserve"> </w:t>
      </w:r>
      <w:r>
        <w:rPr>
          <w:b/>
          <w:sz w:val="20"/>
        </w:rPr>
        <w:t>4 640 958</w:t>
      </w:r>
      <w:r>
        <w:rPr>
          <w:sz w:val="20"/>
        </w:rPr>
        <w:t xml:space="preserve"> (Четыре миллиона шестьсот сорок тысяч девятьсот пятьдесят восемь) рублей 00 копеек РФ, с учетом НДС; НДС составляет </w:t>
      </w:r>
      <w:r>
        <w:rPr>
          <w:b/>
          <w:sz w:val="20"/>
        </w:rPr>
        <w:t xml:space="preserve">773 493 </w:t>
      </w:r>
      <w:r>
        <w:rPr>
          <w:sz w:val="20"/>
        </w:rPr>
        <w:t>(Семьсот семьдесят три тысячи четыреста девяносто три) рубля 00 копеек РФ</w:t>
      </w:r>
      <w:r>
        <w:rPr>
          <w:color w:val="000000"/>
          <w:sz w:val="20"/>
          <w:shd w:fill="FFFFFF" w:val="clear"/>
        </w:rPr>
        <w:t xml:space="preserve"> (по ставке НДС 20%)</w:t>
      </w:r>
      <w:r>
        <w:rPr>
          <w:sz w:val="20"/>
        </w:rPr>
        <w:t>;</w:t>
      </w:r>
    </w:p>
    <w:p>
      <w:pPr>
        <w:pStyle w:val="Style23"/>
        <w:tabs>
          <w:tab w:val="clear" w:pos="567"/>
          <w:tab w:val="left" w:pos="1080" w:leader="none"/>
        </w:tabs>
        <w:spacing w:lineRule="auto" w:line="24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- сроки выполнения работ: начало – с даты подписания договора, окончание - в течение трех месяцев с даты подписания договора, но не позднее чем за 10 дней до окончания договора ТП;</w:t>
      </w:r>
    </w:p>
    <w:p>
      <w:pPr>
        <w:pStyle w:val="Normal"/>
        <w:autoSpaceDE w:val="false"/>
        <w:spacing w:lineRule="auto" w:line="240" w:before="40" w:after="0"/>
        <w:ind w:hanging="0" w:end="0"/>
        <w:rPr>
          <w:b/>
          <w:sz w:val="20"/>
        </w:rPr>
      </w:pPr>
      <w:r>
        <w:rPr>
          <w:sz w:val="20"/>
        </w:rPr>
        <w:t xml:space="preserve">        </w:t>
      </w:r>
      <w:r>
        <w:rPr>
          <w:sz w:val="20"/>
        </w:rPr>
        <w:t>- объем закупаемых работ: согласно требований, изложенным в Техническом задании (Приложении №1 к Извещению о проведении запроса цен).</w:t>
      </w:r>
    </w:p>
    <w:p>
      <w:pPr>
        <w:pStyle w:val="BodyText"/>
        <w:widowControl w:val="false"/>
        <w:ind w:end="-6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/>
      </w:pPr>
      <w:r>
        <w:rPr/>
        <w:t>СОСТАВ ЗАКУПОЧНОЙ КОМИССИИ:</w:t>
      </w:r>
    </w:p>
    <w:tbl>
      <w:tblPr>
        <w:tblW w:w="1034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43"/>
        <w:gridCol w:w="5812"/>
        <w:gridCol w:w="2693"/>
      </w:tblGrid>
      <w:tr>
        <w:trPr>
          <w:trHeight w:val="414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ФИО</w:t>
            </w:r>
          </w:p>
        </w:tc>
        <w:tc>
          <w:tcPr>
            <w:tcW w:w="5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Должность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Статус в составе комиссии</w:t>
            </w:r>
          </w:p>
        </w:tc>
      </w:tr>
      <w:tr>
        <w:trPr/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0"/>
              </w:rPr>
            </w:pPr>
            <w:r>
              <w:rPr>
                <w:sz w:val="20"/>
              </w:rPr>
              <w:t>Капшуков Ф.А.</w:t>
            </w:r>
          </w:p>
        </w:tc>
        <w:tc>
          <w:tcPr>
            <w:tcW w:w="5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/>
            </w:pPr>
            <w:r>
              <w:rPr>
                <w:sz w:val="20"/>
              </w:rPr>
              <w:t>Директор филиала ПАО «Россети Центр» - «Брянскэнерго»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0"/>
              </w:rPr>
            </w:pPr>
            <w:r>
              <w:rPr>
                <w:sz w:val="20"/>
              </w:rPr>
              <w:t>Председатель закупочной комиссии</w:t>
            </w:r>
          </w:p>
        </w:tc>
      </w:tr>
      <w:tr>
        <w:trPr/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0"/>
              </w:rPr>
            </w:pPr>
            <w:r>
              <w:rPr>
                <w:sz w:val="20"/>
              </w:rPr>
              <w:t>Кузнецов П.Н.</w:t>
            </w:r>
          </w:p>
        </w:tc>
        <w:tc>
          <w:tcPr>
            <w:tcW w:w="5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0"/>
              </w:rPr>
            </w:pPr>
            <w:r>
              <w:rPr>
                <w:sz w:val="20"/>
              </w:rPr>
              <w:t>Начальник отдела закупочной деятельности филиала ПАО «Россети Центр» - «Брянскэнерго»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0"/>
              </w:rPr>
            </w:pPr>
            <w:r>
              <w:rPr>
                <w:sz w:val="20"/>
              </w:rPr>
              <w:t>Заместитель председателя закупочной комиссии</w:t>
            </w:r>
          </w:p>
        </w:tc>
      </w:tr>
      <w:tr>
        <w:trPr/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0"/>
              </w:rPr>
            </w:pPr>
            <w:r>
              <w:rPr>
                <w:sz w:val="20"/>
              </w:rPr>
              <w:t>Богинский И.А.</w:t>
            </w:r>
          </w:p>
        </w:tc>
        <w:tc>
          <w:tcPr>
            <w:tcW w:w="5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0"/>
              </w:rPr>
            </w:pPr>
            <w:r>
              <w:rPr>
                <w:sz w:val="20"/>
              </w:rPr>
              <w:t>Заместитель директора по безопасности филиала ПАО «Россети Центр» - «Брянскэнерго»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0"/>
              </w:rPr>
            </w:pPr>
            <w:r>
              <w:rPr>
                <w:sz w:val="20"/>
              </w:rPr>
              <w:t>Член закупочной комиссии</w:t>
            </w:r>
          </w:p>
        </w:tc>
      </w:tr>
      <w:tr>
        <w:trPr/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0"/>
              </w:rPr>
            </w:pPr>
            <w:r>
              <w:rPr>
                <w:sz w:val="20"/>
              </w:rPr>
              <w:t>Солянин Р.В.</w:t>
            </w:r>
          </w:p>
        </w:tc>
        <w:tc>
          <w:tcPr>
            <w:tcW w:w="5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0"/>
              </w:rPr>
            </w:pPr>
            <w:r>
              <w:rPr>
                <w:sz w:val="20"/>
              </w:rPr>
              <w:t>Заместитель генерального    директора    по инвестиционной    деятельности    и    капитальному строительству ПАО «Россети Центр»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0"/>
              </w:rPr>
            </w:pPr>
            <w:r>
              <w:rPr>
                <w:sz w:val="20"/>
              </w:rPr>
              <w:t>Член закупочной комиссии</w:t>
            </w:r>
          </w:p>
        </w:tc>
      </w:tr>
      <w:tr>
        <w:trPr/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0"/>
              </w:rPr>
            </w:pPr>
            <w:r>
              <w:rPr>
                <w:sz w:val="20"/>
              </w:rPr>
              <w:t>Дементьев Б.А.</w:t>
            </w:r>
          </w:p>
        </w:tc>
        <w:tc>
          <w:tcPr>
            <w:tcW w:w="5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0"/>
              </w:rPr>
            </w:pPr>
            <w:r>
              <w:rPr>
                <w:sz w:val="20"/>
              </w:rPr>
              <w:t>Начальник Управления логистики и МТО филиала ПАО «Россети Центр» - «Брянскэнерго»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0"/>
              </w:rPr>
            </w:pPr>
            <w:r>
              <w:rPr>
                <w:sz w:val="20"/>
              </w:rPr>
              <w:t>Член закупочной комиссии</w:t>
            </w:r>
          </w:p>
        </w:tc>
      </w:tr>
      <w:tr>
        <w:trPr>
          <w:trHeight w:val="315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0"/>
              </w:rPr>
            </w:pPr>
            <w:r>
              <w:rPr>
                <w:sz w:val="20"/>
              </w:rPr>
              <w:t>Треухова Н.И.</w:t>
            </w:r>
          </w:p>
        </w:tc>
        <w:tc>
          <w:tcPr>
            <w:tcW w:w="5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0"/>
              </w:rPr>
            </w:pPr>
            <w:r>
              <w:rPr>
                <w:sz w:val="20"/>
              </w:rPr>
              <w:t>Начальник Управления правового обеспечения филиала ПАО «Россети Центр» - «Брянскэнерго»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0"/>
              </w:rPr>
            </w:pPr>
            <w:r>
              <w:rPr>
                <w:sz w:val="20"/>
              </w:rPr>
              <w:t>Член закупочной комиссии</w:t>
            </w:r>
          </w:p>
        </w:tc>
      </w:tr>
      <w:tr>
        <w:trPr>
          <w:trHeight w:val="250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0"/>
              </w:rPr>
            </w:pPr>
            <w:r>
              <w:rPr>
                <w:sz w:val="20"/>
              </w:rPr>
              <w:t>Миненок Е.В.</w:t>
            </w:r>
          </w:p>
        </w:tc>
        <w:tc>
          <w:tcPr>
            <w:tcW w:w="5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/>
            </w:pPr>
            <w:r>
              <w:rPr>
                <w:sz w:val="20"/>
              </w:rPr>
              <w:t>Специалист 1 категории отдела закупочной деятельности филиала ПАО «Россети Центр» - «Брянскэнерго»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start"/>
              <w:rPr/>
            </w:pPr>
            <w:r>
              <w:rPr>
                <w:sz w:val="20"/>
              </w:rPr>
              <w:t>Ответственный секретарь (без права голоса)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firstLine="426" w:end="0"/>
        <w:outlineLvl w:val="1"/>
        <w:rPr>
          <w:sz w:val="20"/>
        </w:rPr>
      </w:pPr>
      <w:r>
        <w:rPr>
          <w:sz w:val="20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firstLine="426" w:end="0"/>
        <w:outlineLvl w:val="1"/>
        <w:rPr/>
      </w:pPr>
      <w:r>
        <w:rPr>
          <w:sz w:val="20"/>
        </w:rPr>
        <w:t>На заседании Закупочной комиссии присутствует не менее чем пятьдесят процентов общего числа ее членов. Кворум имеется, комиссия правомочна.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firstLine="426" w:end="0"/>
        <w:outlineLvl w:val="1"/>
        <w:rPr>
          <w:b/>
          <w:caps/>
          <w:sz w:val="20"/>
        </w:rPr>
      </w:pPr>
      <w:r>
        <w:rPr>
          <w:b/>
          <w:caps/>
          <w:sz w:val="20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sz w:val="20"/>
        </w:rPr>
      </w:pPr>
      <w:r>
        <w:rPr>
          <w:b/>
          <w:sz w:val="20"/>
        </w:rPr>
        <w:t>КРАТКИЙ ОТЧЕТ: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widowControl w:val="false"/>
        <w:ind w:firstLine="426" w:end="-6"/>
        <w:jc w:val="both"/>
        <w:rPr/>
      </w:pPr>
      <w:r>
        <w:rPr>
          <w:sz w:val="20"/>
          <w:szCs w:val="20"/>
        </w:rPr>
        <w:t xml:space="preserve">До окончания срока подачи заявок на сайт ЭТП </w:t>
      </w:r>
      <w:r>
        <w:rPr>
          <w:rStyle w:val="Hyperlink"/>
          <w:sz w:val="20"/>
          <w:szCs w:val="20"/>
        </w:rPr>
        <w:t>tender.lot-online.ru</w:t>
      </w:r>
      <w:r>
        <w:rPr>
          <w:rStyle w:val="Hyperlink"/>
          <w:color w:val="000000"/>
          <w:sz w:val="20"/>
          <w:szCs w:val="20"/>
          <w:u w:val="none"/>
        </w:rPr>
        <w:t xml:space="preserve"> </w:t>
      </w:r>
      <w:r>
        <w:rPr>
          <w:sz w:val="20"/>
          <w:szCs w:val="20"/>
        </w:rPr>
        <w:t>поступили следующие общие части Заявок</w:t>
      </w:r>
      <w:r>
        <w:rPr/>
        <w:t>:</w:t>
      </w:r>
    </w:p>
    <w:tbl>
      <w:tblPr>
        <w:tblW w:w="1034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5954"/>
        <w:gridCol w:w="3827"/>
      </w:tblGrid>
      <w:tr>
        <w:trPr>
          <w:trHeight w:val="381" w:hRule="atLeast"/>
        </w:trPr>
        <w:tc>
          <w:tcPr>
            <w:tcW w:w="5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  <w:t>№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  <w:t>п/п</w:t>
            </w:r>
          </w:p>
        </w:tc>
        <w:tc>
          <w:tcPr>
            <w:tcW w:w="595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/>
            </w:pPr>
            <w:r>
              <w:rPr>
                <w:sz w:val="20"/>
              </w:rPr>
              <w:t>Сведения об Участниках закупки</w:t>
            </w:r>
          </w:p>
        </w:tc>
        <w:tc>
          <w:tcPr>
            <w:tcW w:w="382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Дата и время регистрации </w:t>
              <w:br/>
              <w:t>Заявки на ЭТП</w:t>
            </w:r>
          </w:p>
        </w:tc>
      </w:tr>
      <w:tr>
        <w:trPr>
          <w:trHeight w:val="253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595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8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7"/>
              </w:numPr>
              <w:snapToGrid w:val="false"/>
              <w:spacing w:lineRule="auto" w:line="24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59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>
                <w:sz w:val="20"/>
              </w:rPr>
            </w:pPr>
            <w:r>
              <w:rPr>
                <w:sz w:val="20"/>
              </w:rPr>
              <w:t>ООО «ЭНЕРГОКОМ», ИНН 3257025820, КПП 325701001, РФ, 241020, Брянская область, г. о. Брянск, ул. Тухачевского, д. 1, офис 1, тел. (905)174-04-10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0"/>
              </w:rPr>
            </w:pPr>
            <w:r>
              <w:rPr>
                <w:sz w:val="20"/>
              </w:rPr>
              <w:t>27.11.2025</w:t>
            </w:r>
          </w:p>
          <w:p>
            <w:pPr>
              <w:pStyle w:val="Normal"/>
              <w:widowControl w:val="false"/>
              <w:spacing w:lineRule="auto" w:line="276"/>
              <w:jc w:val="center"/>
              <w:rPr>
                <w:sz w:val="20"/>
              </w:rPr>
            </w:pPr>
            <w:r>
              <w:rPr>
                <w:sz w:val="20"/>
              </w:rPr>
              <w:t>в 13 ч. 50 мин.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7"/>
              </w:numPr>
              <w:snapToGrid w:val="false"/>
              <w:spacing w:lineRule="auto" w:line="24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59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spacing w:lineRule="auto" w:line="276"/>
              <w:textAlignment w:val="top"/>
              <w:rPr>
                <w:sz w:val="20"/>
              </w:rPr>
            </w:pPr>
            <w:r>
              <w:rPr>
                <w:sz w:val="20"/>
              </w:rPr>
              <w:t>ООО «ЭНГРУПП», ИНН 3257010630, КПП 325701001, РФ, 241050, Брянская область, г. Брянск, ул. Трудовая, д. 1А, тел. (980) 305-99-01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0"/>
              </w:rPr>
            </w:pPr>
            <w:r>
              <w:rPr>
                <w:sz w:val="20"/>
              </w:rPr>
              <w:t>11.12.2025</w:t>
            </w:r>
          </w:p>
          <w:p>
            <w:pPr>
              <w:pStyle w:val="Normal"/>
              <w:widowControl w:val="false"/>
              <w:spacing w:lineRule="auto" w:line="276"/>
              <w:jc w:val="center"/>
              <w:rPr>
                <w:sz w:val="20"/>
              </w:rPr>
            </w:pPr>
            <w:r>
              <w:rPr>
                <w:sz w:val="20"/>
              </w:rPr>
              <w:t>в 10 ч. 36 мин.</w:t>
            </w:r>
          </w:p>
        </w:tc>
      </w:tr>
    </w:tbl>
    <w:p>
      <w:pPr>
        <w:pStyle w:val="BodyText"/>
        <w:widowControl w:val="false"/>
        <w:ind w:firstLine="426" w:end="-6"/>
        <w:jc w:val="both"/>
        <w:rPr>
          <w:sz w:val="20"/>
          <w:szCs w:val="20"/>
        </w:rPr>
      </w:pPr>
      <w:r>
        <w:rPr>
          <w:sz w:val="20"/>
          <w:szCs w:val="20"/>
        </w:rPr>
        <w:t>Количество поступивших заявок: 2 шт.</w:t>
      </w:r>
    </w:p>
    <w:p>
      <w:pPr>
        <w:pStyle w:val="BodyText"/>
        <w:widowControl w:val="false"/>
        <w:ind w:firstLine="426" w:end="-6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widowControl w:val="false"/>
        <w:spacing w:lineRule="auto" w:line="240"/>
        <w:ind w:firstLine="426" w:end="0"/>
        <w:rPr>
          <w:sz w:val="20"/>
        </w:rPr>
      </w:pPr>
      <w:r>
        <w:rPr>
          <w:sz w:val="20"/>
        </w:rPr>
        <w:t xml:space="preserve">Признали соответствующими условиям запроса цен общие части заявок: </w:t>
      </w:r>
    </w:p>
    <w:p>
      <w:pPr>
        <w:pStyle w:val="Normal"/>
        <w:widowControl w:val="false"/>
        <w:spacing w:lineRule="auto" w:line="240"/>
        <w:ind w:firstLine="426" w:end="0"/>
        <w:rPr>
          <w:sz w:val="20"/>
        </w:rPr>
      </w:pPr>
      <w:r>
        <w:rPr>
          <w:sz w:val="20"/>
        </w:rPr>
        <w:t>- ООО «ЭНЕРГОКОМ», ИНН 3257025820, КПП 325701001, РФ, 241020, Брянская область, г. о. Брянск, ул. Тухачевского, д. 1, офис 1;</w:t>
      </w:r>
    </w:p>
    <w:p>
      <w:pPr>
        <w:pStyle w:val="Normal"/>
        <w:widowControl w:val="false"/>
        <w:spacing w:lineRule="auto" w:line="240"/>
        <w:ind w:firstLine="426" w:end="0"/>
        <w:rPr>
          <w:sz w:val="20"/>
        </w:rPr>
      </w:pPr>
      <w:r>
        <w:rPr>
          <w:sz w:val="20"/>
        </w:rPr>
        <w:t>- ООО «ЭНГРУПП», ИНН 3257010630, КПП 325701001, РФ, 241050, Брянская область, г. Брянск, ул. Трудовая, д. 1А.</w:t>
      </w:r>
    </w:p>
    <w:p>
      <w:pPr>
        <w:pStyle w:val="Normal"/>
        <w:widowControl w:val="false"/>
        <w:spacing w:lineRule="auto" w:line="240"/>
        <w:ind w:firstLine="426" w:end="0"/>
        <w:rPr>
          <w:sz w:val="20"/>
        </w:rPr>
      </w:pPr>
      <w:r>
        <w:rPr>
          <w:sz w:val="20"/>
        </w:rPr>
        <w:t>Решение Закупочной комиссии было оформлено соответствующим протоколом заседания Закупочной комиссии (протокол от 15.12.2025 г. № 0276-БР-25-1).</w:t>
        <w:tab/>
      </w:r>
    </w:p>
    <w:p>
      <w:pPr>
        <w:pStyle w:val="BodyText"/>
        <w:widowControl w:val="false"/>
        <w:ind w:firstLine="426" w:end="-6"/>
        <w:jc w:val="both"/>
        <w:rPr>
          <w:sz w:val="20"/>
          <w:szCs w:val="20"/>
        </w:rPr>
      </w:pPr>
      <w:r>
        <w:rPr>
          <w:sz w:val="20"/>
          <w:szCs w:val="20"/>
        </w:rPr>
        <w:t>После рассмотрения общих частей Заявок поступили следующие ценовые предложения:</w:t>
      </w:r>
    </w:p>
    <w:tbl>
      <w:tblPr>
        <w:tblW w:w="485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70"/>
        <w:gridCol w:w="3243"/>
        <w:gridCol w:w="1962"/>
        <w:gridCol w:w="1925"/>
        <w:gridCol w:w="2337"/>
      </w:tblGrid>
      <w:tr>
        <w:trPr>
          <w:trHeight w:val="374" w:hRule="atLeast"/>
          <w:cantSplit w:val="true"/>
        </w:trPr>
        <w:tc>
          <w:tcPr>
            <w:tcW w:w="57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120" w:after="0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  <w:t>№</w:t>
            </w:r>
          </w:p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  <w:t>п/п</w:t>
            </w:r>
          </w:p>
        </w:tc>
        <w:tc>
          <w:tcPr>
            <w:tcW w:w="324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/>
            </w:pPr>
            <w:r>
              <w:rPr>
                <w:sz w:val="20"/>
              </w:rPr>
              <w:t>Сведения об Участниках закупки</w:t>
            </w:r>
          </w:p>
        </w:tc>
        <w:tc>
          <w:tcPr>
            <w:tcW w:w="388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  <w:t>Общая цена заявки, руб.</w:t>
            </w:r>
          </w:p>
        </w:tc>
        <w:tc>
          <w:tcPr>
            <w:tcW w:w="233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  <w:t>Дата и время регистрации заявки на ЭТП</w:t>
            </w:r>
          </w:p>
        </w:tc>
      </w:tr>
      <w:tr>
        <w:trPr>
          <w:trHeight w:val="375" w:hRule="atLeast"/>
          <w:cantSplit w:val="true"/>
        </w:trPr>
        <w:tc>
          <w:tcPr>
            <w:tcW w:w="57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/>
              <w:ind w:hanging="0" w:end="0"/>
              <w:jc w:val="star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2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/>
              <w:ind w:hanging="0" w:end="0"/>
              <w:jc w:val="start"/>
              <w:rPr>
                <w:sz w:val="20"/>
                <w:highlight w:val="yellow"/>
              </w:rPr>
            </w:pPr>
            <w:r>
              <w:rPr>
                <w:sz w:val="20"/>
                <w:highlight w:val="yellow"/>
              </w:rPr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  <w:t>без учета НДС</w:t>
            </w:r>
          </w:p>
        </w:tc>
        <w:tc>
          <w:tcPr>
            <w:tcW w:w="1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  <w:t>с учетом НДС</w:t>
            </w:r>
          </w:p>
        </w:tc>
        <w:tc>
          <w:tcPr>
            <w:tcW w:w="233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/>
              <w:ind w:hanging="0" w:end="0"/>
              <w:jc w:val="start"/>
              <w:rPr>
                <w:sz w:val="20"/>
                <w:highlight w:val="yellow"/>
              </w:rPr>
            </w:pPr>
            <w:r>
              <w:rPr>
                <w:sz w:val="20"/>
                <w:highlight w:val="yellow"/>
              </w:rPr>
            </w:r>
          </w:p>
        </w:tc>
      </w:tr>
      <w:tr>
        <w:trPr>
          <w:trHeight w:val="335" w:hRule="atLeast"/>
          <w:cantSplit w:val="true"/>
        </w:trPr>
        <w:tc>
          <w:tcPr>
            <w:tcW w:w="5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11"/>
              </w:numPr>
              <w:tabs>
                <w:tab w:val="clear" w:pos="567"/>
                <w:tab w:val="left" w:pos="176" w:leader="none"/>
              </w:tabs>
              <w:snapToGrid w:val="false"/>
              <w:spacing w:lineRule="auto" w:line="240"/>
              <w:ind w:hanging="8" w:start="0" w:end="-24"/>
              <w:rPr>
                <w:sz w:val="20"/>
              </w:rPr>
            </w:pPr>
            <w:r>
              <w:rPr>
                <w:sz w:val="20"/>
                <w:highlight w:val="yellow"/>
              </w:rPr>
            </w:r>
          </w:p>
        </w:tc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>
                <w:sz w:val="20"/>
              </w:rPr>
            </w:pPr>
            <w:r>
              <w:rPr>
                <w:sz w:val="20"/>
              </w:rPr>
              <w:t>ООО «ЭНЕРГОКОМ», ИНН 3257025820, КПП 325701001, РФ, 241020, Брянская область, г. о. Брянск, ул. Тухачевского, д. 1, офис 1, тел. (905)174-04-10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sz w:val="20"/>
              </w:rPr>
            </w:pPr>
            <w:r>
              <w:rPr>
                <w:sz w:val="20"/>
              </w:rPr>
              <w:t>3 863 715,00</w:t>
            </w:r>
          </w:p>
        </w:tc>
        <w:tc>
          <w:tcPr>
            <w:tcW w:w="1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0"/>
              </w:rPr>
            </w:pPr>
            <w:r>
              <w:rPr>
                <w:sz w:val="20"/>
              </w:rPr>
              <w:t>4 636 458,00</w:t>
            </w:r>
          </w:p>
        </w:tc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0"/>
              </w:rPr>
            </w:pPr>
            <w:r>
              <w:rPr>
                <w:sz w:val="20"/>
              </w:rPr>
              <w:t>27.11.2025</w:t>
            </w:r>
          </w:p>
          <w:p>
            <w:pPr>
              <w:pStyle w:val="Normal"/>
              <w:widowControl w:val="false"/>
              <w:spacing w:lineRule="auto" w:line="276"/>
              <w:jc w:val="center"/>
              <w:rPr>
                <w:sz w:val="20"/>
              </w:rPr>
            </w:pPr>
            <w:r>
              <w:rPr>
                <w:sz w:val="20"/>
              </w:rPr>
              <w:t>в 13 ч. 50 мин.</w:t>
            </w:r>
          </w:p>
        </w:tc>
      </w:tr>
      <w:tr>
        <w:trPr>
          <w:trHeight w:val="335" w:hRule="atLeast"/>
          <w:cantSplit w:val="true"/>
        </w:trPr>
        <w:tc>
          <w:tcPr>
            <w:tcW w:w="5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6"/>
              </w:numPr>
              <w:tabs>
                <w:tab w:val="clear" w:pos="567"/>
                <w:tab w:val="left" w:pos="176" w:leader="none"/>
              </w:tabs>
              <w:snapToGrid w:val="false"/>
              <w:spacing w:lineRule="auto" w:line="240"/>
              <w:ind w:hanging="8" w:start="0" w:end="-24"/>
              <w:rPr>
                <w:sz w:val="20"/>
              </w:rPr>
            </w:pPr>
            <w:r>
              <w:rPr>
                <w:sz w:val="20"/>
                <w:highlight w:val="yellow"/>
              </w:rPr>
            </w:r>
          </w:p>
        </w:tc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spacing w:lineRule="auto" w:line="276"/>
              <w:textAlignment w:val="top"/>
              <w:rPr>
                <w:sz w:val="20"/>
              </w:rPr>
            </w:pPr>
            <w:r>
              <w:rPr>
                <w:sz w:val="20"/>
              </w:rPr>
              <w:t>ООО «ЭНГРУПП», ИНН 3257010630, КПП 325701001, РФ, 241050, Брянская область, г. Брянск, ул. Трудовая, д. 1А, тел. (980) 305-99-01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0"/>
              </w:rPr>
            </w:pPr>
            <w:r>
              <w:rPr>
                <w:sz w:val="20"/>
              </w:rPr>
              <w:t>3 867 465,00</w:t>
            </w:r>
          </w:p>
        </w:tc>
        <w:tc>
          <w:tcPr>
            <w:tcW w:w="1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0"/>
              </w:rPr>
            </w:pPr>
            <w:r>
              <w:rPr>
                <w:sz w:val="20"/>
              </w:rPr>
              <w:t>4 640 958,00</w:t>
            </w:r>
          </w:p>
        </w:tc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0"/>
              </w:rPr>
            </w:pPr>
            <w:r>
              <w:rPr>
                <w:sz w:val="20"/>
              </w:rPr>
              <w:t>11.12.2025</w:t>
            </w:r>
          </w:p>
          <w:p>
            <w:pPr>
              <w:pStyle w:val="Normal"/>
              <w:widowControl w:val="false"/>
              <w:spacing w:lineRule="auto" w:line="276"/>
              <w:jc w:val="center"/>
              <w:rPr>
                <w:sz w:val="20"/>
              </w:rPr>
            </w:pPr>
            <w:r>
              <w:rPr>
                <w:sz w:val="20"/>
              </w:rPr>
              <w:t>в 10 ч. 36 мин.</w:t>
            </w:r>
          </w:p>
        </w:tc>
      </w:tr>
    </w:tbl>
    <w:p>
      <w:pPr>
        <w:pStyle w:val="Normal"/>
        <w:widowControl w:val="false"/>
        <w:spacing w:lineRule="auto" w:line="240"/>
        <w:ind w:firstLine="426" w:end="0"/>
        <w:rPr>
          <w:sz w:val="20"/>
        </w:rPr>
      </w:pPr>
      <w:r>
        <w:rPr>
          <w:sz w:val="20"/>
        </w:rPr>
        <w:t>Количество поступивших ценовых предложений: 2 шт.</w:t>
      </w:r>
    </w:p>
    <w:p>
      <w:pPr>
        <w:pStyle w:val="Normal"/>
        <w:widowControl w:val="false"/>
        <w:numPr>
          <w:ilvl w:val="0"/>
          <w:numId w:val="0"/>
        </w:numPr>
        <w:ind w:start="0" w:hanging="0" w:end="0"/>
        <w:outlineLvl w:val="1"/>
        <w:rPr>
          <w:b/>
          <w:sz w:val="20"/>
        </w:rPr>
      </w:pPr>
      <w:bookmarkStart w:id="2" w:name="_Ref93304289"/>
      <w:bookmarkEnd w:id="2"/>
      <w:r>
        <w:rPr>
          <w:b/>
          <w:caps/>
          <w:sz w:val="20"/>
        </w:rPr>
        <w:t>РЕШЕНИЕ ЗАКУПОЧНОЙ КОМИССИИ: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</w:tabs>
        <w:suppressAutoHyphens w:val="true"/>
        <w:spacing w:lineRule="auto" w:line="240"/>
        <w:ind w:firstLine="426" w:start="0" w:end="0"/>
        <w:outlineLvl w:val="2"/>
        <w:rPr>
          <w:b/>
          <w:sz w:val="20"/>
        </w:rPr>
      </w:pPr>
      <w:bookmarkStart w:id="3" w:name="_Ref93304289"/>
      <w:bookmarkEnd w:id="3"/>
      <w:r>
        <w:rPr>
          <w:b/>
          <w:sz w:val="20"/>
        </w:rPr>
        <w:t>Признать соответствующими условиям запроса цен ценовые предложения: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firstLine="567" w:start="0"/>
        <w:outlineLvl w:val="2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76"/>
        <w:ind w:firstLine="567" w:start="0"/>
        <w:outlineLvl w:val="2"/>
        <w:rPr>
          <w:sz w:val="20"/>
        </w:rPr>
      </w:pPr>
      <w:r>
        <w:rPr>
          <w:sz w:val="20"/>
        </w:rPr>
        <w:t>- ООО «ЭНЕРГОКОМ», ИНН 3257025820, КПП 325701001, РФ, 241020, Брянская область, г. о. Брянск, ул. Тухачевского, д. 1, офис 1;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firstLine="567" w:start="0"/>
        <w:outlineLvl w:val="2"/>
        <w:rPr>
          <w:b/>
          <w:sz w:val="20"/>
        </w:rPr>
      </w:pPr>
      <w:r>
        <w:rPr>
          <w:sz w:val="20"/>
        </w:rPr>
        <w:t>- ООО «ЭНГРУПП», ИНН 3257010630, КПП 325701001, РФ, 241050, Брянская область, г. Брянск, ул. Трудовая, д. 1А.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</w:tabs>
        <w:suppressAutoHyphens w:val="true"/>
        <w:spacing w:lineRule="auto" w:line="240"/>
        <w:ind w:firstLine="426" w:start="0" w:end="0"/>
        <w:outlineLvl w:val="2"/>
        <w:rPr>
          <w:b/>
          <w:sz w:val="20"/>
        </w:rPr>
      </w:pPr>
      <w:r>
        <w:rPr>
          <w:sz w:val="20"/>
        </w:rPr>
        <w:t>.</w:t>
      </w:r>
      <w:r>
        <w:rPr>
          <w:b/>
          <w:sz w:val="20"/>
        </w:rPr>
        <w:t>Ранжировать Заявки:</w:t>
      </w:r>
    </w:p>
    <w:p>
      <w:pPr>
        <w:pStyle w:val="Normal"/>
        <w:widowControl w:val="false"/>
        <w:numPr>
          <w:ilvl w:val="0"/>
          <w:numId w:val="0"/>
        </w:numPr>
        <w:tabs>
          <w:tab w:val="clear" w:pos="567"/>
          <w:tab w:val="left" w:pos="1287" w:leader="none"/>
        </w:tabs>
        <w:suppressAutoHyphens w:val="true"/>
        <w:spacing w:lineRule="auto" w:line="276"/>
        <w:ind w:firstLine="567" w:start="0"/>
        <w:outlineLvl w:val="2"/>
        <w:rPr/>
      </w:pPr>
      <w:r>
        <w:rPr>
          <w:sz w:val="20"/>
          <w:szCs w:val="17"/>
        </w:rPr>
        <w:t xml:space="preserve">Учитывая, что единственным критерием для определения лучшей заявки запроса цен и Участника, чья заявка признана лучшей (далее - </w:t>
      </w:r>
      <w:r>
        <w:rPr>
          <w:sz w:val="20"/>
        </w:rPr>
        <w:t>Победителя) является наименьшая цена заявки, при условии соответствия заявки и самого Участника требованиям Извещения о проведении запроса цен, ранжировать заявки сле</w:t>
      </w:r>
      <w:r>
        <w:rPr/>
        <w:t>дующим образом:</w:t>
      </w:r>
    </w:p>
    <w:tbl>
      <w:tblPr>
        <w:tblW w:w="10363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91"/>
        <w:gridCol w:w="2180"/>
        <w:gridCol w:w="1983"/>
        <w:gridCol w:w="2409"/>
      </w:tblGrid>
      <w:tr>
        <w:trPr>
          <w:trHeight w:val="471" w:hRule="atLeast"/>
        </w:trPr>
        <w:tc>
          <w:tcPr>
            <w:tcW w:w="3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000000"/>
                <w:sz w:val="20"/>
                <w:highlight w:val="yellow"/>
              </w:rPr>
            </w:pPr>
            <w:r>
              <w:rPr>
                <w:color w:val="000000"/>
                <w:sz w:val="20"/>
              </w:rPr>
              <w:t>Начальная (максимальная) цена Договора, руб. без учета НДС</w:t>
            </w:r>
          </w:p>
        </w:tc>
        <w:tc>
          <w:tcPr>
            <w:tcW w:w="657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b/>
                <w:bCs/>
                <w:color w:val="000000"/>
                <w:sz w:val="20"/>
                <w:highlight w:val="yellow"/>
              </w:rPr>
            </w:pPr>
            <w:r>
              <w:rPr>
                <w:b/>
                <w:sz w:val="20"/>
              </w:rPr>
              <w:t xml:space="preserve">        </w:t>
            </w:r>
            <w:r>
              <w:rPr>
                <w:b/>
                <w:sz w:val="20"/>
              </w:rPr>
              <w:t>3 867 465,00</w:t>
            </w:r>
          </w:p>
        </w:tc>
      </w:tr>
      <w:tr>
        <w:trPr>
          <w:trHeight w:val="377" w:hRule="atLeast"/>
        </w:trPr>
        <w:tc>
          <w:tcPr>
            <w:tcW w:w="3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Наименование параметра/</w:t>
            </w:r>
          </w:p>
          <w:p>
            <w:pPr>
              <w:pStyle w:val="Normal"/>
              <w:spacing w:lineRule="auto" w:line="276"/>
              <w:jc w:val="center"/>
              <w:rPr>
                <w:color w:val="000000"/>
                <w:sz w:val="20"/>
                <w:highlight w:val="yellow"/>
              </w:rPr>
            </w:pPr>
            <w:r>
              <w:rPr>
                <w:color w:val="000000"/>
                <w:sz w:val="20"/>
              </w:rPr>
              <w:t>Участники закупки</w:t>
            </w:r>
          </w:p>
        </w:tc>
        <w:tc>
          <w:tcPr>
            <w:tcW w:w="2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ind w:hanging="0" w:end="0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Итоговый рейтинг (место в ранжировке)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color w:val="000000"/>
                <w:sz w:val="20"/>
              </w:rPr>
              <w:t>Цена заявки</w:t>
            </w:r>
            <w:r>
              <w:rPr>
                <w:sz w:val="20"/>
              </w:rPr>
              <w:t>,</w:t>
            </w:r>
            <w:r>
              <w:rPr>
                <w:color w:val="000000"/>
                <w:sz w:val="20"/>
              </w:rPr>
              <w:t xml:space="preserve"> руб. без учета НДС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Цена заявки, руб. с учетом НДС</w:t>
            </w:r>
          </w:p>
        </w:tc>
      </w:tr>
      <w:tr>
        <w:trPr>
          <w:trHeight w:val="256" w:hRule="atLeast"/>
        </w:trPr>
        <w:tc>
          <w:tcPr>
            <w:tcW w:w="3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0"/>
              </w:rPr>
            </w:pPr>
            <w:r>
              <w:rPr>
                <w:sz w:val="20"/>
              </w:rPr>
              <w:t>ООО «ЭНЕРГОКОМ»</w:t>
            </w:r>
          </w:p>
        </w:tc>
        <w:tc>
          <w:tcPr>
            <w:tcW w:w="2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napToGrid w:val="false"/>
              <w:spacing w:lineRule="auto" w:line="276"/>
              <w:ind w:firstLine="283" w:start="-108" w:end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  <w:t>3 863 715,00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  <w:t>4 636 458,00</w:t>
            </w:r>
          </w:p>
        </w:tc>
      </w:tr>
      <w:tr>
        <w:trPr>
          <w:trHeight w:val="131" w:hRule="atLeast"/>
        </w:trPr>
        <w:tc>
          <w:tcPr>
            <w:tcW w:w="3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0"/>
              </w:rPr>
            </w:pPr>
            <w:r>
              <w:rPr>
                <w:sz w:val="20"/>
              </w:rPr>
              <w:t>ООО «ЭНГРУПП»</w:t>
            </w:r>
          </w:p>
        </w:tc>
        <w:tc>
          <w:tcPr>
            <w:tcW w:w="2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napToGrid w:val="false"/>
              <w:spacing w:lineRule="auto" w:line="276"/>
              <w:ind w:firstLine="283" w:start="-108" w:end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  <w:t>3 867 465,00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  <w:t>4 640 958,00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76"/>
        <w:ind w:start="0" w:hanging="0" w:end="0"/>
        <w:outlineLvl w:val="2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</w:tabs>
        <w:suppressAutoHyphens w:val="true"/>
        <w:spacing w:lineRule="auto" w:line="276"/>
        <w:ind w:firstLine="425" w:start="0" w:end="0"/>
        <w:outlineLvl w:val="2"/>
        <w:rPr>
          <w:b/>
          <w:sz w:val="20"/>
        </w:rPr>
      </w:pPr>
      <w:r>
        <w:rPr>
          <w:b/>
          <w:sz w:val="20"/>
        </w:rPr>
        <w:t>По результатам ранжировки Заявок признать Победителем запроса цен:</w:t>
      </w:r>
    </w:p>
    <w:p>
      <w:pPr>
        <w:pStyle w:val="Normal"/>
        <w:widowControl w:val="false"/>
        <w:tabs>
          <w:tab w:val="left" w:pos="567" w:leader="none"/>
        </w:tabs>
        <w:autoSpaceDE w:val="false"/>
        <w:spacing w:lineRule="auto" w:line="276"/>
        <w:ind w:firstLine="425" w:end="0"/>
        <w:rPr>
          <w:iCs/>
          <w:sz w:val="20"/>
        </w:rPr>
      </w:pPr>
      <w:r>
        <w:rPr>
          <w:sz w:val="20"/>
        </w:rPr>
        <w:t>ООО «ЭНЕРГОКОМ», ИНН 3257025820, КПП 325701001, РФ, 241020, Брянская область, г. о. Брянск, ул. Тухачевского, д. 1, офис 1, на право заключения выполнение работ по проектированию и строительству объекта: «Строительство: КЛ 0,4кВ» для обеспечения технологического присоединения энергопринимающих устройств: административное здание по адресу: Брянская обл., Карачевский р-н, г. Карачев, ул. Советская, д. 53, (Филиал в Брянской и Орловской областях ПАО «Ростелеком») для нужд ПАО «Россети Центр» (филиала «Брянскэнерго») на следующих условиях:</w:t>
      </w:r>
      <w:r>
        <w:rPr>
          <w:iCs/>
          <w:sz w:val="20"/>
        </w:rPr>
        <w:t xml:space="preserve"> </w:t>
      </w:r>
    </w:p>
    <w:p>
      <w:pPr>
        <w:pStyle w:val="Normal"/>
        <w:widowControl w:val="false"/>
        <w:tabs>
          <w:tab w:val="left" w:pos="567" w:leader="none"/>
        </w:tabs>
        <w:autoSpaceDE w:val="false"/>
        <w:spacing w:lineRule="auto" w:line="276"/>
        <w:ind w:hanging="0" w:end="0"/>
        <w:rPr/>
      </w:pPr>
      <w:r>
        <w:rPr>
          <w:iCs/>
          <w:sz w:val="20"/>
        </w:rPr>
        <w:t xml:space="preserve"> </w:t>
      </w:r>
      <w:r>
        <w:rPr>
          <w:iCs/>
          <w:sz w:val="20"/>
        </w:rPr>
        <w:t xml:space="preserve">- стоимость выполнения работ: </w:t>
      </w:r>
    </w:p>
    <w:p>
      <w:pPr>
        <w:pStyle w:val="BodyText"/>
        <w:widowControl w:val="false"/>
        <w:numPr>
          <w:ilvl w:val="0"/>
          <w:numId w:val="4"/>
        </w:numPr>
        <w:tabs>
          <w:tab w:val="clear" w:pos="9360"/>
          <w:tab w:val="left" w:pos="284" w:leader="none"/>
          <w:tab w:val="right" w:pos="1134" w:leader="none"/>
        </w:tabs>
        <w:spacing w:lineRule="auto" w:line="276"/>
        <w:ind w:hanging="0" w:start="0" w:end="0"/>
        <w:jc w:val="both"/>
        <w:rPr>
          <w:sz w:val="20"/>
          <w:szCs w:val="20"/>
        </w:rPr>
      </w:pPr>
      <w:r>
        <w:rPr>
          <w:sz w:val="20"/>
          <w:szCs w:val="20"/>
        </w:rPr>
        <w:t>3 863 715,00 руб. без НДС;</w:t>
      </w:r>
    </w:p>
    <w:p>
      <w:pPr>
        <w:pStyle w:val="BodyText"/>
        <w:widowControl w:val="false"/>
        <w:numPr>
          <w:ilvl w:val="0"/>
          <w:numId w:val="4"/>
        </w:numPr>
        <w:tabs>
          <w:tab w:val="clear" w:pos="9360"/>
          <w:tab w:val="left" w:pos="284" w:leader="none"/>
          <w:tab w:val="right" w:pos="1134" w:leader="none"/>
        </w:tabs>
        <w:ind w:hanging="0" w:start="0" w:end="0"/>
        <w:jc w:val="both"/>
        <w:rPr>
          <w:sz w:val="20"/>
          <w:szCs w:val="20"/>
        </w:rPr>
      </w:pPr>
      <w:r>
        <w:rPr>
          <w:sz w:val="20"/>
          <w:szCs w:val="20"/>
        </w:rPr>
        <w:t>772 743,00 руб. НДС;</w:t>
      </w:r>
    </w:p>
    <w:p>
      <w:pPr>
        <w:pStyle w:val="BodyText"/>
        <w:widowControl w:val="false"/>
        <w:numPr>
          <w:ilvl w:val="0"/>
          <w:numId w:val="4"/>
        </w:numPr>
        <w:tabs>
          <w:tab w:val="clear" w:pos="9360"/>
          <w:tab w:val="left" w:pos="284" w:leader="none"/>
          <w:tab w:val="right" w:pos="1134" w:leader="none"/>
        </w:tabs>
        <w:ind w:hanging="0" w:start="0" w:end="0"/>
        <w:jc w:val="both"/>
        <w:rPr>
          <w:sz w:val="20"/>
          <w:szCs w:val="20"/>
        </w:rPr>
      </w:pPr>
      <w:r>
        <w:rPr>
          <w:sz w:val="20"/>
          <w:szCs w:val="20"/>
        </w:rPr>
        <w:t>4 636 458,00 руб. с учетом НДС;</w:t>
      </w:r>
    </w:p>
    <w:p>
      <w:pPr>
        <w:pStyle w:val="Style27"/>
        <w:widowControl w:val="false"/>
        <w:tabs>
          <w:tab w:val="clear" w:pos="567"/>
          <w:tab w:val="right" w:pos="9360" w:leader="none"/>
        </w:tabs>
        <w:spacing w:lineRule="auto" w:line="240"/>
        <w:ind w:firstLine="426" w:end="0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iCs/>
          <w:sz w:val="20"/>
          <w:szCs w:val="20"/>
        </w:rPr>
        <w:t>- условия оплаты</w:t>
      </w:r>
      <w:r>
        <w:rPr>
          <w:rFonts w:cs="Times New Roman" w:ascii="Times New Roman" w:hAnsi="Times New Roman"/>
          <w:sz w:val="20"/>
          <w:szCs w:val="20"/>
        </w:rPr>
        <w:t xml:space="preserve">: безналичный расчет, </w:t>
      </w:r>
      <w:r>
        <w:rPr>
          <w:rFonts w:cs="Times New Roman" w:ascii="Times New Roman" w:hAnsi="Times New Roman"/>
          <w:iCs/>
          <w:sz w:val="20"/>
          <w:szCs w:val="20"/>
        </w:rPr>
        <w:t>не более 7 (семи) рабочих дней</w:t>
      </w:r>
      <w:r>
        <w:rPr>
          <w:rFonts w:cs="Times New Roman" w:ascii="Times New Roman" w:hAnsi="Times New Roman"/>
          <w:sz w:val="20"/>
          <w:szCs w:val="20"/>
        </w:rPr>
        <w:t xml:space="preserve"> с момента подписания сторонами Акта приемки выполненных работ и предоставления счета-фактуры;</w:t>
      </w:r>
    </w:p>
    <w:p>
      <w:pPr>
        <w:pStyle w:val="BodyText"/>
        <w:widowControl w:val="false"/>
        <w:tabs>
          <w:tab w:val="right" w:pos="9360" w:leader="none"/>
          <w:tab w:val="right" w:pos="10348" w:leader="none"/>
        </w:tabs>
        <w:ind w:firstLine="426" w:end="-6"/>
        <w:jc w:val="both"/>
        <w:rPr>
          <w:sz w:val="20"/>
          <w:szCs w:val="20"/>
        </w:rPr>
      </w:pPr>
      <w:r>
        <w:rPr>
          <w:iCs/>
          <w:sz w:val="20"/>
          <w:szCs w:val="20"/>
        </w:rPr>
        <w:t>- сроки выполнения работ:</w:t>
      </w:r>
      <w:r>
        <w:rPr>
          <w:sz w:val="20"/>
          <w:szCs w:val="20"/>
        </w:rPr>
        <w:t xml:space="preserve"> </w:t>
      </w:r>
      <w:r>
        <w:rPr>
          <w:sz w:val="20"/>
        </w:rPr>
        <w:t>начало – с даты подписания договора, окончание - в течение трех месяцев с даты подписания договора, но не позднее чем за 10 дней до окончания договора ТП;</w:t>
      </w:r>
    </w:p>
    <w:p>
      <w:pPr>
        <w:pStyle w:val="BodyText"/>
        <w:widowControl w:val="false"/>
        <w:tabs>
          <w:tab w:val="right" w:pos="9360" w:leader="none"/>
          <w:tab w:val="right" w:pos="10348" w:leader="none"/>
        </w:tabs>
        <w:ind w:firstLine="426" w:end="-6"/>
        <w:jc w:val="both"/>
        <w:rPr>
          <w:sz w:val="20"/>
          <w:szCs w:val="20"/>
        </w:rPr>
      </w:pPr>
      <w:r>
        <w:rPr>
          <w:sz w:val="20"/>
          <w:szCs w:val="20"/>
        </w:rPr>
        <w:t>Поручить ответственному секретарю закупочной комиссии уведомить ПАО «Россети Центр» (филиал «Брянскэнерго», расположенному по адресу: РФ, 241050, г. Брянск, ул. Советская, д. 35) о решении Закупочной комиссии в течение 3-х рабочих дней после подписания Протокола.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</w:tabs>
        <w:spacing w:lineRule="auto" w:line="240"/>
        <w:ind w:firstLine="426" w:start="0" w:end="0"/>
        <w:rPr>
          <w:sz w:val="20"/>
        </w:rPr>
      </w:pPr>
      <w:r>
        <w:rPr>
          <w:color w:val="000000"/>
          <w:sz w:val="20"/>
          <w:shd w:fill="FFFFFF" w:val="clear"/>
        </w:rPr>
        <w:t xml:space="preserve">Признать запрос </w:t>
      </w:r>
      <w:r>
        <w:rPr>
          <w:iCs/>
          <w:sz w:val="20"/>
        </w:rPr>
        <w:t>цен несостоявшимся в соответствии с подпунктом (а) пункта 7.5.1 Единого стандарта закупок Публичного акционерного общества «Федеральная сетевая компания - Россети» (Положение о закупке), поскольку на момент окончания подачи заявок подана только одна заявка.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</w:tabs>
        <w:spacing w:lineRule="auto" w:line="240"/>
        <w:ind w:firstLine="426" w:start="0" w:end="0"/>
        <w:rPr>
          <w:sz w:val="20"/>
        </w:rPr>
      </w:pPr>
      <w:r>
        <w:rPr>
          <w:sz w:val="20"/>
        </w:rPr>
        <w:t>ПАО «Россети Центр» (филиалу «Брянскэнерго», расположенному по адресу: РФ, 241050, г. Брянск, ул. Советская, д. 35) не ранее чем через 10 (десять) дней и не позднее чем через 20 (двадцать) дней с даты размещения в Единой информационной системе в сфере закупок товаров, работ, услуг для обеспечения государственных и муниципальных нужд настоящего протокола, составленного по результатам конкурентной закупки заключить договор с единственным участником закупки, соответствующим требованиям Извещения о проведении запроса цен, на указанных в заявке единственного участника закупки, соответствующего требованиям Извещения о проведении запроса цен, цене и условиях.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</w:tabs>
        <w:spacing w:lineRule="auto" w:line="240"/>
        <w:ind w:firstLine="426" w:start="0" w:end="0"/>
        <w:rPr>
          <w:sz w:val="20"/>
        </w:rPr>
      </w:pPr>
      <w:r>
        <w:rPr>
          <w:sz w:val="20"/>
        </w:rPr>
        <w:t>В случае необходимости предварительного одобрения Советом директоров ПАО «Россети Центр» договора как сделки, в совершении которой имеется заинтересованность, обеспечить вынесение на рассмотрение Совета директоров вопроса об одобрении договора до его заключения.</w:t>
      </w:r>
    </w:p>
    <w:p>
      <w:pPr>
        <w:pStyle w:val="Normal"/>
        <w:numPr>
          <w:ilvl w:val="0"/>
          <w:numId w:val="3"/>
        </w:numPr>
        <w:tabs>
          <w:tab w:val="clear" w:pos="567"/>
          <w:tab w:val="left" w:pos="851" w:leader="none"/>
        </w:tabs>
        <w:spacing w:lineRule="auto" w:line="240"/>
        <w:ind w:firstLine="426" w:start="0" w:end="0"/>
        <w:rPr>
          <w:sz w:val="20"/>
        </w:rPr>
      </w:pPr>
      <w:r>
        <w:rPr>
          <w:sz w:val="20"/>
        </w:rPr>
        <w:t>В случае необходимости одобрения органом управления Заказчика, в соответствии с законодательством Российской Федерации, заключения договора или в случае обжалования в антимонопольном органе либо в судебном порядке действий (бездействий) Заказчика, Закупочной комиссии, оператора электронной площадки, договор должен быть заключен в сроки, установленные законодательством.</w:t>
      </w:r>
    </w:p>
    <w:p>
      <w:pPr>
        <w:pStyle w:val="Normal"/>
        <w:tabs>
          <w:tab w:val="clear" w:pos="567"/>
          <w:tab w:val="left" w:pos="851" w:leader="none"/>
        </w:tabs>
        <w:spacing w:lineRule="auto" w:line="240"/>
        <w:ind w:firstLine="426" w:end="0"/>
        <w:rPr>
          <w:sz w:val="20"/>
        </w:rPr>
      </w:pPr>
      <w:r>
        <w:rPr>
          <w:sz w:val="20"/>
        </w:rPr>
      </w:r>
    </w:p>
    <w:p>
      <w:pPr>
        <w:pStyle w:val="Normal"/>
        <w:overflowPunct w:val="false"/>
        <w:autoSpaceDE w:val="false"/>
        <w:spacing w:lineRule="auto" w:line="240"/>
        <w:ind w:firstLine="425" w:end="0"/>
        <w:textAlignment w:val="baseline"/>
        <w:rPr/>
      </w:pPr>
      <w:r>
        <w:rPr>
          <w:b/>
          <w:i/>
          <w:sz w:val="20"/>
          <w:lang w:val="en-US"/>
        </w:rPr>
        <w:t xml:space="preserve">Я, член Закупочной комиссии, подписавший настоящий протокол, подтверждаю, что не связан в настоящем ни с одним из участников данного запроса цен таким образом, что это помешает беспристрастно </w:t>
      </w:r>
      <w:r>
        <w:rPr>
          <w:b/>
          <w:i/>
          <w:sz w:val="20"/>
        </w:rPr>
        <w:t xml:space="preserve">рассматривать и </w:t>
      </w:r>
      <w:r>
        <w:rPr>
          <w:b/>
          <w:i/>
          <w:sz w:val="20"/>
          <w:lang w:val="en-US"/>
        </w:rPr>
        <w:t>оценивать поданные заявки участников.</w:t>
      </w:r>
    </w:p>
    <w:p>
      <w:pPr>
        <w:pStyle w:val="Normal"/>
        <w:overflowPunct w:val="false"/>
        <w:autoSpaceDE w:val="false"/>
        <w:spacing w:lineRule="auto" w:line="240"/>
        <w:ind w:firstLine="425" w:end="0"/>
        <w:textAlignment w:val="baseline"/>
        <w:rPr/>
      </w:pPr>
      <w:r>
        <w:rPr>
          <w:b/>
          <w:i/>
          <w:sz w:val="20"/>
          <w:lang w:val="en-US"/>
        </w:rPr>
        <w:t xml:space="preserve">В случае возникновения в период проведения запроса цен любых обстоятельств, мешающих давать беспристрастные оценки, либо в случае попытки оказания влияния на оценки члена Закупочной комиссии со стороны участников или иных лиц, не участвующих в </w:t>
      </w:r>
      <w:r>
        <w:rPr>
          <w:b/>
          <w:i/>
          <w:sz w:val="20"/>
        </w:rPr>
        <w:t xml:space="preserve">рассмотрении и </w:t>
      </w:r>
      <w:r>
        <w:rPr>
          <w:b/>
          <w:i/>
          <w:sz w:val="20"/>
          <w:lang w:val="en-US"/>
        </w:rPr>
        <w:t>оценке Заявок, член Закупочной комиссии обязуется незамедлительно доложить об этом лично председателю Закупочной комиссии.</w:t>
      </w:r>
    </w:p>
    <w:p>
      <w:pPr>
        <w:pStyle w:val="Normal"/>
        <w:overflowPunct w:val="false"/>
        <w:autoSpaceDE w:val="false"/>
        <w:spacing w:lineRule="auto" w:line="240"/>
        <w:ind w:firstLine="425" w:end="0"/>
        <w:textAlignment w:val="baseline"/>
        <w:rPr/>
      </w:pPr>
      <w:r>
        <w:rPr>
          <w:b/>
          <w:i/>
          <w:sz w:val="20"/>
          <w:lang w:val="en-US"/>
        </w:rPr>
        <w:t>Вс</w:t>
      </w:r>
      <w:r>
        <w:rPr>
          <w:b/>
          <w:i/>
          <w:sz w:val="20"/>
        </w:rPr>
        <w:t>ю</w:t>
      </w:r>
      <w:r>
        <w:rPr>
          <w:b/>
          <w:i/>
          <w:sz w:val="20"/>
          <w:lang w:val="en-US"/>
        </w:rPr>
        <w:t xml:space="preserve"> информаци</w:t>
      </w:r>
      <w:r>
        <w:rPr>
          <w:b/>
          <w:i/>
          <w:sz w:val="20"/>
        </w:rPr>
        <w:t>ю</w:t>
      </w:r>
      <w:r>
        <w:rPr>
          <w:b/>
          <w:i/>
          <w:sz w:val="20"/>
          <w:lang w:val="en-US"/>
        </w:rPr>
        <w:t xml:space="preserve"> о заявках, разъяснениях, рассмотрении, отбору, оценках и сопоставлении заявок, до подведения результатов запроса цен, член Закупочной комиссии обязуется ни при каких обстоятельствах не сообщать участникам и лицам, не имеющим отношения к процедуре рассмотрения заявок.</w:t>
      </w:r>
    </w:p>
    <w:p>
      <w:pPr>
        <w:pStyle w:val="Normal"/>
        <w:overflowPunct w:val="false"/>
        <w:autoSpaceDE w:val="false"/>
        <w:spacing w:lineRule="auto" w:line="240"/>
        <w:ind w:firstLine="425" w:end="0"/>
        <w:textAlignment w:val="baseline"/>
        <w:rPr>
          <w:b/>
          <w:i/>
          <w:i/>
          <w:sz w:val="20"/>
          <w:lang w:val="en-US"/>
        </w:rPr>
      </w:pPr>
      <w:r>
        <w:rPr>
          <w:b/>
          <w:i/>
          <w:sz w:val="20"/>
          <w:lang w:val="en-US"/>
        </w:rPr>
        <w:t>В случае необходимости обращения к Участнику запроса цен до подведения результатов, член Закупочной комиссии обязуется это сделать через Организатора данного запроса цен.</w:t>
      </w:r>
    </w:p>
    <w:p>
      <w:pPr>
        <w:pStyle w:val="Normal"/>
        <w:widowControl w:val="false"/>
        <w:tabs>
          <w:tab w:val="clear" w:pos="567"/>
          <w:tab w:val="right" w:pos="9360" w:leader="none"/>
        </w:tabs>
        <w:spacing w:lineRule="auto" w:line="240"/>
        <w:ind w:hanging="0" w:end="0"/>
        <w:rPr/>
      </w:pPr>
      <w:r>
        <w:rPr>
          <w:b/>
          <w:i/>
          <w:sz w:val="20"/>
          <w:lang w:val="en-US"/>
        </w:rPr>
        <w:t>Член Закупочной комиссии несет персональную ответственность за разглашение этих сведений до подведения результатов запроса цен</w:t>
      </w:r>
      <w:r>
        <w:rPr>
          <w:b/>
          <w:i/>
          <w:sz w:val="20"/>
        </w:rPr>
        <w:t>.</w:t>
      </w:r>
    </w:p>
    <w:p>
      <w:pPr>
        <w:pStyle w:val="Normal"/>
        <w:widowControl w:val="false"/>
        <w:tabs>
          <w:tab w:val="clear" w:pos="567"/>
          <w:tab w:val="right" w:pos="9360" w:leader="none"/>
        </w:tabs>
        <w:spacing w:lineRule="auto" w:line="240"/>
        <w:ind w:hanging="0" w:end="0"/>
        <w:rPr>
          <w:b/>
          <w:i/>
          <w:i/>
          <w:iCs/>
          <w:sz w:val="20"/>
        </w:rPr>
      </w:pPr>
      <w:r>
        <w:rPr>
          <w:b/>
          <w:i/>
          <w:iCs/>
          <w:sz w:val="20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sz w:val="20"/>
        </w:rPr>
      </w:pPr>
      <w:r>
        <w:rPr>
          <w:b/>
          <w:sz w:val="20"/>
        </w:rPr>
        <w:t>РЕЗУЛЬТАТЫ ГОЛОСОВАНИЯ: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sz w:val="20"/>
        </w:rPr>
        <w:t>«За» __6__ членов закупочной комиссии.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sz w:val="20"/>
        </w:rPr>
        <w:t>«Против» __0__ членов закупочной комиссии.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sz w:val="20"/>
        </w:rPr>
        <w:t>«Воздержалось» __0__ членов закупочной комиссии.</w:t>
      </w:r>
    </w:p>
    <w:p>
      <w:pPr>
        <w:pStyle w:val="Normal"/>
        <w:widowControl w:val="false"/>
        <w:spacing w:lineRule="auto" w:line="240"/>
        <w:ind w:hanging="0" w:end="0"/>
        <w:rPr>
          <w:sz w:val="20"/>
        </w:rPr>
      </w:pPr>
      <w:r>
        <w:rPr>
          <w:sz w:val="20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/>
      </w:pPr>
      <w:r>
        <w:rPr/>
        <w:t>ПОДПИСИ ЧЛЕНОВ закупочной КОМИССИИ:</w:t>
      </w:r>
    </w:p>
    <w:tbl>
      <w:tblPr>
        <w:tblW w:w="942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36"/>
        <w:gridCol w:w="2976"/>
        <w:gridCol w:w="2517"/>
      </w:tblGrid>
      <w:tr>
        <w:trPr>
          <w:trHeight w:val="594" w:hRule="atLeast"/>
          <w:cantSplit w:val="true"/>
        </w:trPr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0"/>
              </w:rPr>
            </w:pPr>
            <w:r>
              <w:rPr>
                <w:sz w:val="20"/>
              </w:rPr>
              <w:t xml:space="preserve">Председатель 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0"/>
              </w:rPr>
            </w:pPr>
            <w:r>
              <w:rPr>
                <w:sz w:val="20"/>
              </w:rPr>
              <w:t>закупочной комиссии:</w:t>
            </w:r>
          </w:p>
        </w:tc>
        <w:tc>
          <w:tcPr>
            <w:tcW w:w="297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0"/>
              </w:rPr>
            </w:pPr>
            <w:r>
              <w:rPr>
                <w:sz w:val="20"/>
              </w:rPr>
              <w:t>_______________________</w:t>
            </w:r>
          </w:p>
        </w:tc>
        <w:tc>
          <w:tcPr>
            <w:tcW w:w="2517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0"/>
              </w:rPr>
            </w:pPr>
            <w:r>
              <w:rPr>
                <w:sz w:val="20"/>
              </w:rPr>
              <w:t>Капшуков Ф.А.</w:t>
            </w:r>
          </w:p>
        </w:tc>
      </w:tr>
      <w:tr>
        <w:trPr>
          <w:trHeight w:val="594" w:hRule="atLeast"/>
          <w:cantSplit w:val="true"/>
        </w:trPr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0"/>
              </w:rPr>
            </w:pPr>
            <w:r>
              <w:rPr>
                <w:sz w:val="20"/>
              </w:rPr>
              <w:t xml:space="preserve">Заместитель председателя 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0"/>
              </w:rPr>
            </w:pPr>
            <w:r>
              <w:rPr>
                <w:sz w:val="20"/>
              </w:rPr>
              <w:t>закупочной комиссии:</w:t>
            </w:r>
          </w:p>
        </w:tc>
        <w:tc>
          <w:tcPr>
            <w:tcW w:w="297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0"/>
              </w:rPr>
            </w:pPr>
            <w:r>
              <w:rPr>
                <w:sz w:val="20"/>
              </w:rPr>
              <w:t>_______________________</w:t>
            </w:r>
          </w:p>
        </w:tc>
        <w:tc>
          <w:tcPr>
            <w:tcW w:w="2517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/>
            </w:pPr>
            <w:r>
              <w:rPr>
                <w:sz w:val="20"/>
              </w:rPr>
              <w:t>Кузнецов П.Н.</w:t>
            </w:r>
          </w:p>
        </w:tc>
      </w:tr>
      <w:tr>
        <w:trPr>
          <w:trHeight w:val="594" w:hRule="atLeast"/>
          <w:cantSplit w:val="true"/>
        </w:trPr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0"/>
              </w:rPr>
            </w:pPr>
            <w:r>
              <w:rPr>
                <w:sz w:val="20"/>
              </w:rPr>
              <w:t>Члены закупочной комиссии:</w:t>
            </w:r>
          </w:p>
        </w:tc>
        <w:tc>
          <w:tcPr>
            <w:tcW w:w="297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0"/>
              </w:rPr>
            </w:pPr>
            <w:r>
              <w:rPr>
                <w:sz w:val="20"/>
              </w:rPr>
              <w:t>_______________________</w:t>
            </w:r>
          </w:p>
        </w:tc>
        <w:tc>
          <w:tcPr>
            <w:tcW w:w="2517" w:type="dxa"/>
            <w:tcBorders/>
            <w:vAlign w:val="bottom"/>
          </w:tcPr>
          <w:p>
            <w:pPr>
              <w:pStyle w:val="Normal"/>
              <w:spacing w:lineRule="auto" w:line="240" w:before="20" w:after="0"/>
              <w:ind w:hanging="0" w:end="0"/>
              <w:jc w:val="start"/>
              <w:rPr>
                <w:sz w:val="20"/>
              </w:rPr>
            </w:pPr>
            <w:r>
              <w:rPr>
                <w:sz w:val="20"/>
              </w:rPr>
              <w:t>Богинский И.А.</w:t>
            </w:r>
          </w:p>
        </w:tc>
      </w:tr>
      <w:tr>
        <w:trPr>
          <w:trHeight w:val="594" w:hRule="atLeast"/>
          <w:cantSplit w:val="true"/>
        </w:trPr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97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/>
            </w:pPr>
            <w:r>
              <w:rPr>
                <w:i/>
                <w:sz w:val="20"/>
                <w:u w:val="single"/>
              </w:rPr>
              <w:t>___по опросному листу</w:t>
            </w:r>
            <w:r>
              <w:rPr>
                <w:sz w:val="20"/>
              </w:rPr>
              <w:t>_</w:t>
            </w:r>
          </w:p>
        </w:tc>
        <w:tc>
          <w:tcPr>
            <w:tcW w:w="2517" w:type="dxa"/>
            <w:tcBorders/>
            <w:vAlign w:val="bottom"/>
          </w:tcPr>
          <w:p>
            <w:pPr>
              <w:pStyle w:val="Normal"/>
              <w:spacing w:lineRule="auto" w:line="240" w:before="20" w:after="0"/>
              <w:ind w:hanging="0" w:end="0"/>
              <w:jc w:val="start"/>
              <w:rPr>
                <w:sz w:val="20"/>
              </w:rPr>
            </w:pPr>
            <w:r>
              <w:rPr>
                <w:sz w:val="20"/>
              </w:rPr>
              <w:t>Солянин Р.В.</w:t>
            </w:r>
          </w:p>
        </w:tc>
      </w:tr>
      <w:tr>
        <w:trPr>
          <w:trHeight w:val="594" w:hRule="atLeast"/>
          <w:cantSplit w:val="true"/>
        </w:trPr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97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0"/>
              </w:rPr>
            </w:pPr>
            <w:r>
              <w:rPr>
                <w:sz w:val="20"/>
              </w:rPr>
              <w:t>_______________________</w:t>
            </w:r>
          </w:p>
        </w:tc>
        <w:tc>
          <w:tcPr>
            <w:tcW w:w="2517" w:type="dxa"/>
            <w:tcBorders/>
            <w:vAlign w:val="bottom"/>
          </w:tcPr>
          <w:p>
            <w:pPr>
              <w:pStyle w:val="Normal"/>
              <w:spacing w:lineRule="auto" w:line="240" w:before="20" w:after="0"/>
              <w:ind w:hanging="0" w:end="0"/>
              <w:jc w:val="start"/>
              <w:rPr>
                <w:sz w:val="20"/>
              </w:rPr>
            </w:pPr>
            <w:r>
              <w:rPr>
                <w:sz w:val="20"/>
              </w:rPr>
              <w:t>Дементьев Б.А.</w:t>
            </w:r>
          </w:p>
        </w:tc>
      </w:tr>
      <w:tr>
        <w:trPr>
          <w:trHeight w:val="594" w:hRule="atLeast"/>
          <w:cantSplit w:val="true"/>
        </w:trPr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97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0"/>
              </w:rPr>
            </w:pPr>
            <w:r>
              <w:rPr>
                <w:sz w:val="20"/>
              </w:rPr>
              <w:t>_______________________</w:t>
            </w:r>
          </w:p>
        </w:tc>
        <w:tc>
          <w:tcPr>
            <w:tcW w:w="2517" w:type="dxa"/>
            <w:tcBorders/>
            <w:vAlign w:val="bottom"/>
          </w:tcPr>
          <w:p>
            <w:pPr>
              <w:pStyle w:val="Normal"/>
              <w:spacing w:lineRule="auto" w:line="240" w:before="20" w:after="0"/>
              <w:ind w:hanging="0" w:end="0"/>
              <w:jc w:val="start"/>
              <w:rPr>
                <w:sz w:val="20"/>
              </w:rPr>
            </w:pPr>
            <w:r>
              <w:rPr>
                <w:sz w:val="20"/>
              </w:rPr>
              <w:t>Треухова Н.И.</w:t>
            </w:r>
          </w:p>
        </w:tc>
      </w:tr>
      <w:tr>
        <w:trPr>
          <w:trHeight w:val="594" w:hRule="atLeast"/>
          <w:cantSplit w:val="true"/>
        </w:trPr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0"/>
              </w:rPr>
            </w:pPr>
            <w:r>
              <w:rPr>
                <w:sz w:val="20"/>
              </w:rPr>
              <w:t xml:space="preserve">Ответственный секретарь 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0"/>
              </w:rPr>
            </w:pPr>
            <w:r>
              <w:rPr>
                <w:sz w:val="20"/>
              </w:rPr>
              <w:t>закупочной комиссии:</w:t>
            </w:r>
          </w:p>
        </w:tc>
        <w:tc>
          <w:tcPr>
            <w:tcW w:w="297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0"/>
              </w:rPr>
            </w:pPr>
            <w:r>
              <w:rPr>
                <w:sz w:val="20"/>
              </w:rPr>
              <w:t>_______________________</w:t>
            </w:r>
          </w:p>
        </w:tc>
        <w:tc>
          <w:tcPr>
            <w:tcW w:w="2517" w:type="dxa"/>
            <w:tcBorders/>
            <w:vAlign w:val="bottom"/>
          </w:tcPr>
          <w:p>
            <w:pPr>
              <w:pStyle w:val="Normal"/>
              <w:spacing w:lineRule="auto" w:line="240" w:before="20" w:after="0"/>
              <w:ind w:hanging="0" w:end="0"/>
              <w:jc w:val="start"/>
              <w:rPr>
                <w:sz w:val="20"/>
              </w:rPr>
            </w:pPr>
            <w:r>
              <w:rPr>
                <w:sz w:val="20"/>
              </w:rPr>
              <w:t>Миненок Е.В.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sz w:val="20"/>
        </w:rPr>
      </w:pPr>
      <w:r>
        <w:rPr>
          <w:sz w:val="20"/>
        </w:rPr>
      </w:r>
    </w:p>
    <w:sectPr>
      <w:headerReference w:type="default" r:id="rId5"/>
      <w:footerReference w:type="default" r:id="rId6"/>
      <w:type w:val="nextPage"/>
      <w:pgSz w:w="11906" w:h="16838"/>
      <w:pgMar w:left="1134" w:right="424" w:gutter="0" w:header="284" w:top="967" w:footer="450" w:bottom="70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ahoma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  <w:font w:name="MinionPro-Regular">
    <w:altName w:val="Times New Roman"/>
    <w:charset w:val="cc" w:characterSet="windows-1251"/>
    <w:family w:val="auto"/>
    <w:pitch w:val="default"/>
  </w:font>
  <w:font w:name="Calibri">
    <w:charset w:val="cc" w:characterSet="windows-1251"/>
    <w:family w:val="swiss"/>
    <w:pitch w:val="variable"/>
  </w:font>
  <w:font w:name="PF Din Text Cond Pro Light">
    <w:charset w:val="cc" w:characterSet="windows-1251"/>
    <w:family w:val="auto"/>
    <w:pitch w:val="variable"/>
  </w:font>
  <w:font w:name="Helios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rStyle w:val="PageNumber"/>
      </w:rPr>
      <w:t xml:space="preserve">стр.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4</w:t>
    </w:r>
    <w:r>
      <w:rPr>
        <w:rStyle w:val="PageNumber"/>
      </w:rPr>
      <w:fldChar w:fldCharType="end"/>
    </w:r>
    <w:r>
      <w:rPr>
        <w:rStyle w:val="PageNumber"/>
      </w:rPr>
      <w:t xml:space="preserve"> из </w:t>
    </w:r>
    <w:r>
      <w:rPr>
        <w:rStyle w:val="PageNumber"/>
      </w:rPr>
      <w:fldChar w:fldCharType="begin"/>
    </w:r>
    <w:r>
      <w:rPr>
        <w:rStyle w:val="PageNumber"/>
      </w:rPr>
      <w:instrText xml:space="preserve"> NUMPAGES \* ARABIC </w:instrText>
    </w:r>
    <w:r>
      <w:rPr>
        <w:rStyle w:val="PageNumber"/>
      </w:rPr>
      <w:fldChar w:fldCharType="separate"/>
    </w:r>
    <w:r>
      <w:rPr>
        <w:rStyle w:val="PageNumber"/>
      </w:rPr>
      <w:t>4</w:t>
    </w:r>
    <w:r>
      <w:rPr>
        <w:rStyle w:val="PageNumber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lang w:val="ru-RU"/>
      </w:rPr>
    </w:pPr>
    <w:r>
      <w:rPr>
        <w:lang w:val="ru-RU"/>
      </w:rPr>
    </w:r>
  </w:p>
  <w:p>
    <w:pPr>
      <w:pStyle w:val="Header"/>
      <w:jc w:val="end"/>
      <w:rPr>
        <w:lang w:val="ru-RU"/>
      </w:rPr>
    </w:pPr>
    <w:r>
      <w:rPr>
        <w:lang w:val="ru-RU"/>
      </w:rPr>
      <w:t xml:space="preserve">Протокол очно-заочного заседания Закупочной комиссии по рассмотрению </w:t>
    </w:r>
  </w:p>
  <w:p>
    <w:pPr>
      <w:pStyle w:val="Header"/>
      <w:jc w:val="end"/>
      <w:rPr>
        <w:lang w:val="ru-RU"/>
      </w:rPr>
    </w:pPr>
    <w:r>
      <w:rPr>
        <w:lang w:val="ru-RU"/>
      </w:rPr>
      <w:t>ценовых предложений участников и подведению итогов закупочной процедуры</w:t>
    </w:r>
  </w:p>
  <w:p>
    <w:pPr>
      <w:pStyle w:val="Header"/>
      <w:jc w:val="end"/>
      <w:rPr/>
    </w:pPr>
    <w:r>
      <w:rPr>
        <w:lang w:val="ru-RU"/>
      </w:rPr>
      <w:t xml:space="preserve"> </w:t>
    </w:r>
    <w:r>
      <w:rPr/>
      <w:t xml:space="preserve">№ </w:t>
    </w:r>
    <w:r>
      <w:rPr/>
      <w:t>0</w:t>
    </w:r>
    <w:r>
      <w:rPr>
        <w:lang w:val="ru-RU"/>
      </w:rPr>
      <w:t>76</w:t>
    </w:r>
    <w:r>
      <w:rPr/>
      <w:t>-БР-25</w:t>
    </w:r>
    <w:r>
      <w:rPr>
        <w:lang w:val="ru-RU"/>
      </w:rPr>
      <w:t>-2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432"/>
        </w:tabs>
        <w:ind w:start="432" w:hanging="432"/>
      </w:pPr>
      <w:rPr/>
    </w:lvl>
    <w:lvl w:ilvl="1">
      <w:start w:val="1"/>
      <w:numFmt w:val="decimal"/>
      <w:lvlText w:val="%1.%2."/>
      <w:lvlJc w:val="start"/>
      <w:pPr>
        <w:tabs>
          <w:tab w:val="num" w:pos="576"/>
        </w:tabs>
        <w:ind w:start="576" w:hanging="576"/>
      </w:pPr>
      <w:rPr/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864"/>
        </w:tabs>
        <w:ind w:start="864" w:hanging="864"/>
      </w:pPr>
      <w:rPr/>
    </w:lvl>
    <w:lvl w:ilvl="4">
      <w:start w:val="1"/>
      <w:pStyle w:val="Heading5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pStyle w:val="Heading6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pStyle w:val="Heading7"/>
      <w:numFmt w:val="decimal"/>
      <w:lvlText w:val="%1.%2.%3.%4.%5.%6.%7"/>
      <w:lvlJc w:val="start"/>
      <w:pPr>
        <w:tabs>
          <w:tab w:val="num" w:pos="1296"/>
        </w:tabs>
        <w:ind w:start="1296" w:hanging="1296"/>
      </w:pPr>
      <w:rPr/>
    </w:lvl>
    <w:lvl w:ilvl="7">
      <w:start w:val="1"/>
      <w:pStyle w:val="Heading8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pStyle w:val="Heading9"/>
      <w:numFmt w:val="decimal"/>
      <w:lvlText w:val="%1.%2.%3.%4.%5.%6.%7.%8.%9"/>
      <w:lvlJc w:val="start"/>
      <w:pPr>
        <w:tabs>
          <w:tab w:val="num" w:pos="1584"/>
        </w:tabs>
        <w:ind w:start="1584" w:hanging="1584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926"/>
        </w:tabs>
        <w:ind w:start="926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87"/>
        </w:tabs>
        <w:ind w:start="153" w:firstLine="567"/>
      </w:pPr>
      <w:rPr>
        <w:b/>
        <w:color w:val="000000"/>
      </w:rPr>
    </w:lvl>
    <w:lvl w:ilvl="1">
      <w:start w:val="1"/>
      <w:numFmt w:val="decimal"/>
      <w:lvlText w:val="%1.%2."/>
      <w:lvlJc w:val="start"/>
      <w:pPr>
        <w:tabs>
          <w:tab w:val="num" w:pos="708"/>
        </w:tabs>
        <w:ind w:start="2126" w:hanging="708"/>
      </w:pPr>
      <w:rPr/>
    </w:lvl>
    <w:lvl w:ilvl="2">
      <w:start w:val="1"/>
      <w:numFmt w:val="decimal"/>
      <w:lvlText w:val="%1.%2.%3."/>
      <w:lvlJc w:val="start"/>
      <w:pPr>
        <w:tabs>
          <w:tab w:val="num" w:pos="2835"/>
        </w:tabs>
        <w:ind w:start="2835" w:hanging="708"/>
      </w:pPr>
      <w:rPr/>
    </w:lvl>
    <w:lvl w:ilvl="3">
      <w:start w:val="1"/>
      <w:numFmt w:val="decimal"/>
      <w:lvlText w:val="%1.%2.%3.%4."/>
      <w:lvlJc w:val="start"/>
      <w:pPr>
        <w:tabs>
          <w:tab w:val="num" w:pos="708"/>
        </w:tabs>
        <w:ind w:start="3540" w:hanging="708"/>
      </w:pPr>
      <w:rPr/>
    </w:lvl>
    <w:lvl w:ilvl="4">
      <w:start w:val="1"/>
      <w:numFmt w:val="decimal"/>
      <w:lvlText w:val="%1.%2.%3.%4.%5."/>
      <w:lvlJc w:val="start"/>
      <w:pPr>
        <w:tabs>
          <w:tab w:val="num" w:pos="708"/>
        </w:tabs>
        <w:ind w:start="4248" w:hanging="708"/>
      </w:pPr>
      <w:rPr/>
    </w:lvl>
    <w:lvl w:ilvl="5">
      <w:start w:val="0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</w:lvl>
    <w:lvl w:ilvl="6">
      <w:start w:val="1"/>
      <w:numFmt w:val="decimal"/>
      <w:lvlText w:val="%1.%2.%3.%4.%5.%6%7."/>
      <w:lvlJc w:val="start"/>
      <w:pPr>
        <w:tabs>
          <w:tab w:val="num" w:pos="708"/>
        </w:tabs>
        <w:ind w:start="5664" w:hanging="708"/>
      </w:pPr>
      <w:rPr/>
    </w:lvl>
    <w:lvl w:ilvl="7">
      <w:start w:val="1"/>
      <w:numFmt w:val="decimal"/>
      <w:lvlText w:val="%1.%2.%3.%4.%5.%6%7.%8."/>
      <w:lvlJc w:val="start"/>
      <w:pPr>
        <w:tabs>
          <w:tab w:val="num" w:pos="708"/>
        </w:tabs>
        <w:ind w:start="6372" w:hanging="708"/>
      </w:pPr>
      <w:rPr/>
    </w:lvl>
    <w:lvl w:ilvl="8">
      <w:start w:val="1"/>
      <w:numFmt w:val="decimal"/>
      <w:lvlText w:val="%1.%2.%3.%4.%5.%6%7.%8.%9."/>
      <w:lvlJc w:val="start"/>
      <w:pPr>
        <w:tabs>
          <w:tab w:val="num" w:pos="708"/>
        </w:tabs>
        <w:ind w:start="7080" w:hanging="708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sz w:val="22"/>
        <w:szCs w:val="22"/>
      </w:rPr>
    </w:lvl>
  </w:abstractNum>
  <w:abstractNum w:abstractNumId="5">
    <w:lvl w:ilvl="0">
      <w:start w:val="1"/>
      <w:numFmt w:val="decimal"/>
      <w:lvlText w:val="%1"/>
      <w:lvlJc w:val="start"/>
      <w:pPr>
        <w:tabs>
          <w:tab w:val="num" w:pos="0"/>
        </w:tabs>
        <w:ind w:start="432" w:hanging="432"/>
      </w:pPr>
    </w:lvl>
    <w:lvl w:ilvl="1">
      <w:start w:val="1"/>
      <w:numFmt w:val="decimal"/>
      <w:lvlText w:val="%1.%2"/>
      <w:lvlJc w:val="start"/>
      <w:pPr>
        <w:tabs>
          <w:tab w:val="num" w:pos="0"/>
        </w:tabs>
        <w:ind w:start="576" w:hanging="576"/>
      </w:pPr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720" w:hanging="720"/>
      </w:pPr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864" w:hanging="864"/>
      </w:pPr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1008" w:hanging="1008"/>
      </w:pPr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1152" w:hanging="1152"/>
      </w:pPr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1296" w:hanging="1296"/>
      </w:pPr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1440" w:hanging="1440"/>
      </w:pPr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1584" w:hanging="1584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1134"/>
        </w:tabs>
        <w:ind w:start="1134" w:hanging="1134"/>
      </w:pPr>
      <w:rPr/>
    </w:lvl>
    <w:lvl w:ilvl="1">
      <w:start w:val="1"/>
      <w:numFmt w:val="decimal"/>
      <w:lvlText w:val="%1.%2"/>
      <w:lvlJc w:val="start"/>
      <w:pPr>
        <w:tabs>
          <w:tab w:val="num" w:pos="1134"/>
        </w:tabs>
        <w:ind w:start="1134" w:hanging="1134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>
        <w:i w:val="false"/>
        <w:b w:val="false"/>
      </w:rPr>
    </w:lvl>
    <w:lvl w:ilvl="3">
      <w:start w:val="1"/>
      <w:numFmt w:val="decimal"/>
      <w:lvlText w:val="%1.%2.%3.%4"/>
      <w:lvlJc w:val="start"/>
      <w:pPr>
        <w:tabs>
          <w:tab w:val="num" w:pos="1134"/>
        </w:tabs>
        <w:ind w:start="1134" w:hanging="1134"/>
      </w:pPr>
      <w:rPr>
        <w:i w:val="false"/>
        <w:b w:val="false"/>
      </w:rPr>
    </w:lvl>
    <w:lvl w:ilvl="4">
      <w:start w:val="1"/>
      <w:numFmt w:val="lowerLetter"/>
      <w:lvlText w:val="%5)"/>
      <w:lvlJc w:val="start"/>
      <w:pPr>
        <w:tabs>
          <w:tab w:val="num" w:pos="1701"/>
        </w:tabs>
        <w:ind w:start="1701" w:hanging="567"/>
      </w:pPr>
      <w:rPr/>
    </w:lvl>
    <w:lvl w:ilvl="5">
      <w:start w:val="1"/>
      <w:numFmt w:val="decimal"/>
      <w:lvlText w:val="%1.%2.%3.%4.%5.%6."/>
      <w:lvlJc w:val="start"/>
      <w:pPr>
        <w:tabs>
          <w:tab w:val="num" w:pos="396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468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540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6120"/>
        </w:tabs>
        <w:ind w:start="4320" w:hanging="1440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1430"/>
        </w:tabs>
        <w:ind w:start="143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6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30"/>
  <w:defaultTabStop w:val="567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60"/>
      <w:ind w:firstLine="567" w:start="0" w:end="0"/>
      <w:jc w:val="both"/>
    </w:pPr>
    <w:rPr>
      <w:rFonts w:ascii="Times New Roman" w:hAnsi="Times New Roman" w:eastAsia="Times New Roman" w:cs="Times New Roman"/>
      <w:color w:val="auto"/>
      <w:sz w:val="28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pageBreakBefore/>
      <w:numPr>
        <w:ilvl w:val="0"/>
        <w:numId w:val="9"/>
      </w:numPr>
      <w:suppressAutoHyphens w:val="true"/>
      <w:spacing w:lineRule="auto" w:line="240" w:before="480" w:after="240"/>
      <w:jc w:val="start"/>
      <w:outlineLvl w:val="0"/>
    </w:pPr>
    <w:rPr>
      <w:rFonts w:ascii="Arial" w:hAnsi="Arial" w:cs="Arial"/>
      <w:b/>
      <w:kern w:val="2"/>
      <w:sz w:val="40"/>
    </w:rPr>
  </w:style>
  <w:style w:type="paragraph" w:styleId="Heading2">
    <w:name w:val="heading 2"/>
    <w:basedOn w:val="Normal"/>
    <w:next w:val="Normal"/>
    <w:qFormat/>
    <w:pPr>
      <w:keepNext w:val="true"/>
      <w:numPr>
        <w:ilvl w:val="0"/>
        <w:numId w:val="9"/>
      </w:numPr>
      <w:suppressAutoHyphens w:val="true"/>
      <w:spacing w:lineRule="auto" w:line="240" w:before="360" w:after="120"/>
      <w:jc w:val="star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 w:val="true"/>
      <w:numPr>
        <w:ilvl w:val="0"/>
        <w:numId w:val="8"/>
      </w:numPr>
      <w:suppressAutoHyphens w:val="true"/>
      <w:spacing w:lineRule="auto" w:line="240" w:before="120" w:after="120"/>
      <w:jc w:val="start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 w:val="true"/>
      <w:numPr>
        <w:ilvl w:val="0"/>
        <w:numId w:val="8"/>
      </w:numPr>
      <w:tabs>
        <w:tab w:val="clear" w:pos="567"/>
        <w:tab w:val="left" w:pos="1134" w:leader="none"/>
      </w:tabs>
      <w:suppressAutoHyphens w:val="true"/>
      <w:spacing w:lineRule="auto" w:line="240" w:before="240" w:after="120"/>
      <w:ind w:firstLine="567" w:start="1134" w:end="0"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tabs>
        <w:tab w:val="clear" w:pos="567"/>
        <w:tab w:val="left" w:pos="1080" w:leader="none"/>
      </w:tabs>
      <w:suppressAutoHyphens w:val="true"/>
      <w:spacing w:before="60" w:after="0"/>
      <w:ind w:hanging="1080" w:start="1080" w:end="0"/>
      <w:outlineLvl w:val="4"/>
    </w:pPr>
    <w:rPr>
      <w:b/>
      <w:sz w:val="26"/>
    </w:rPr>
  </w:style>
  <w:style w:type="paragraph" w:styleId="Heading6">
    <w:name w:val="heading 6"/>
    <w:basedOn w:val="Normal"/>
    <w:next w:val="Normal"/>
    <w:qFormat/>
    <w:pPr>
      <w:widowControl w:val="false"/>
      <w:numPr>
        <w:ilvl w:val="5"/>
        <w:numId w:val="1"/>
      </w:numPr>
      <w:tabs>
        <w:tab w:val="clear" w:pos="567"/>
        <w:tab w:val="left" w:pos="1080" w:leader="none"/>
      </w:tabs>
      <w:suppressAutoHyphens w:val="true"/>
      <w:spacing w:before="240" w:after="60"/>
      <w:ind w:hanging="1080" w:start="1080" w:end="0"/>
      <w:outlineLvl w:val="5"/>
    </w:pPr>
    <w:rPr>
      <w:b/>
      <w:sz w:val="22"/>
    </w:rPr>
  </w:style>
  <w:style w:type="paragraph" w:styleId="Heading7">
    <w:name w:val="heading 7"/>
    <w:basedOn w:val="Normal"/>
    <w:next w:val="Normal"/>
    <w:qFormat/>
    <w:pPr>
      <w:widowControl w:val="false"/>
      <w:numPr>
        <w:ilvl w:val="6"/>
        <w:numId w:val="1"/>
      </w:numPr>
      <w:tabs>
        <w:tab w:val="clear" w:pos="567"/>
        <w:tab w:val="left" w:pos="1440" w:leader="none"/>
      </w:tabs>
      <w:suppressAutoHyphens w:val="true"/>
      <w:spacing w:before="240" w:after="60"/>
      <w:ind w:hanging="1440" w:start="1440" w:end="0"/>
      <w:outlineLvl w:val="6"/>
    </w:pPr>
    <w:rPr>
      <w:sz w:val="26"/>
    </w:rPr>
  </w:style>
  <w:style w:type="paragraph" w:styleId="Heading8">
    <w:name w:val="heading 8"/>
    <w:basedOn w:val="Normal"/>
    <w:next w:val="Normal"/>
    <w:qFormat/>
    <w:pPr>
      <w:widowControl w:val="false"/>
      <w:numPr>
        <w:ilvl w:val="7"/>
        <w:numId w:val="1"/>
      </w:numPr>
      <w:suppressAutoHyphens w:val="true"/>
      <w:spacing w:before="240" w:after="60"/>
      <w:outlineLvl w:val="7"/>
    </w:pPr>
    <w:rPr>
      <w:i/>
      <w:sz w:val="26"/>
    </w:rPr>
  </w:style>
  <w:style w:type="paragraph" w:styleId="Heading9">
    <w:name w:val="heading 9"/>
    <w:basedOn w:val="Normal"/>
    <w:next w:val="Normal"/>
    <w:qFormat/>
    <w:pPr>
      <w:widowControl w:val="false"/>
      <w:numPr>
        <w:ilvl w:val="8"/>
        <w:numId w:val="1"/>
      </w:numPr>
      <w:tabs>
        <w:tab w:val="clear" w:pos="567"/>
        <w:tab w:val="left" w:pos="1800" w:leader="none"/>
      </w:tabs>
      <w:suppressAutoHyphens w:val="true"/>
      <w:spacing w:before="240" w:after="60"/>
      <w:ind w:hanging="1800" w:start="1800" w:end="0"/>
      <w:outlineLvl w:val="8"/>
    </w:pPr>
    <w:rPr>
      <w:rFonts w:ascii="Arial" w:hAnsi="Arial" w:cs="Arial"/>
      <w:sz w:val="22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b/>
      <w:color w:val="000000"/>
    </w:rPr>
  </w:style>
  <w:style w:type="character" w:styleId="WW8Num2z1">
    <w:name w:val="WW8Num2z1"/>
    <w:qFormat/>
    <w:rPr/>
  </w:style>
  <w:style w:type="character" w:styleId="WW8Num3z0">
    <w:name w:val="WW8Num3z0"/>
    <w:qFormat/>
    <w:rPr>
      <w:rFonts w:ascii="Symbol" w:hAnsi="Symbol" w:cs="Symbol"/>
      <w:sz w:val="22"/>
      <w:szCs w:val="22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/>
  </w:style>
  <w:style w:type="character" w:styleId="WW8Num6z0">
    <w:name w:val="WW8Num6z0"/>
    <w:qFormat/>
    <w:rPr>
      <w:rFonts w:ascii="Times New Roman" w:hAnsi="Times New Roman" w:eastAsia="Times New Roman" w:cs="Times New Roman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>
      <w:rFonts w:ascii="Symbol" w:hAnsi="Symbol" w:cs="Symbol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/>
  </w:style>
  <w:style w:type="character" w:styleId="WW8Num20z0">
    <w:name w:val="WW8Num20z0"/>
    <w:qFormat/>
    <w:rPr/>
  </w:style>
  <w:style w:type="character" w:styleId="WW8Num20z2">
    <w:name w:val="WW8Num20z2"/>
    <w:qFormat/>
    <w:rPr>
      <w:b w:val="false"/>
      <w:i w:val="false"/>
    </w:rPr>
  </w:style>
  <w:style w:type="character" w:styleId="WW8Num21z0">
    <w:name w:val="WW8Num21z0"/>
    <w:qFormat/>
    <w:rPr>
      <w:rFonts w:ascii="Wingdings" w:hAnsi="Wingdings" w:cs="Wingdings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3">
    <w:name w:val="WW8Num21z3"/>
    <w:qFormat/>
    <w:rPr>
      <w:rFonts w:ascii="Symbol" w:hAnsi="Symbol" w:cs="Symbol"/>
    </w:rPr>
  </w:style>
  <w:style w:type="character" w:styleId="WW8Num22z0">
    <w:name w:val="WW8Num22z0"/>
    <w:qFormat/>
    <w:rPr>
      <w:rFonts w:ascii="Symbol" w:hAnsi="Symbol" w:cs="Symbol"/>
    </w:rPr>
  </w:style>
  <w:style w:type="character" w:styleId="WW8Num22z2">
    <w:name w:val="WW8Num22z2"/>
    <w:qFormat/>
    <w:rPr>
      <w:rFonts w:ascii="Wingdings" w:hAnsi="Wingdings" w:cs="Wingdings"/>
    </w:rPr>
  </w:style>
  <w:style w:type="character" w:styleId="WW8Num22z4">
    <w:name w:val="WW8Num22z4"/>
    <w:qFormat/>
    <w:rPr>
      <w:rFonts w:ascii="Courier New" w:hAnsi="Courier New" w:cs="Courier New"/>
    </w:rPr>
  </w:style>
  <w:style w:type="character" w:styleId="WW8Num23z0">
    <w:name w:val="WW8Num23z0"/>
    <w:qFormat/>
    <w:rPr/>
  </w:style>
  <w:style w:type="character" w:styleId="WW8Num24z0">
    <w:name w:val="WW8Num24z0"/>
    <w:qFormat/>
    <w:rPr>
      <w:rFonts w:ascii="Times New Roman" w:hAnsi="Times New Roman" w:cs="Times New Roman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4z3">
    <w:name w:val="WW8Num24z3"/>
    <w:qFormat/>
    <w:rPr>
      <w:rFonts w:ascii="Symbol" w:hAnsi="Symbol" w:cs="Symbol"/>
    </w:rPr>
  </w:style>
  <w:style w:type="character" w:styleId="WW8Num25z0">
    <w:name w:val="WW8Num25z0"/>
    <w:qFormat/>
    <w:rPr>
      <w:b/>
      <w:i w:val="false"/>
    </w:rPr>
  </w:style>
  <w:style w:type="character" w:styleId="WW8Num25z1">
    <w:name w:val="WW8Num25z1"/>
    <w:qFormat/>
    <w:rPr/>
  </w:style>
  <w:style w:type="character" w:styleId="WW8Num26z0">
    <w:name w:val="WW8Num26z0"/>
    <w:qFormat/>
    <w:rPr/>
  </w:style>
  <w:style w:type="character" w:styleId="WW8Num27z0">
    <w:name w:val="WW8Num27z0"/>
    <w:qFormat/>
    <w:rPr>
      <w:rFonts w:ascii="Symbol" w:hAnsi="Symbol" w:cs="Symbol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28z0">
    <w:name w:val="WW8Num28z0"/>
    <w:qFormat/>
    <w:rPr>
      <w:b/>
    </w:rPr>
  </w:style>
  <w:style w:type="character" w:styleId="WW8Num28z1">
    <w:name w:val="WW8Num28z1"/>
    <w:qFormat/>
    <w:rPr/>
  </w:style>
  <w:style w:type="character" w:styleId="WW8Num29z0">
    <w:name w:val="WW8Num29z0"/>
    <w:qFormat/>
    <w:rPr>
      <w:rFonts w:ascii="Symbol" w:hAnsi="Symbol" w:cs="Symbol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30z0">
    <w:name w:val="WW8Num30z0"/>
    <w:qFormat/>
    <w:rPr>
      <w:rFonts w:ascii="Wingdings" w:hAnsi="Wingdings" w:cs="Wingdings"/>
    </w:rPr>
  </w:style>
  <w:style w:type="character" w:styleId="WW8Num30z1">
    <w:name w:val="WW8Num30z1"/>
    <w:qFormat/>
    <w:rPr>
      <w:rFonts w:ascii="Courier New" w:hAnsi="Courier New" w:cs="Courier New"/>
    </w:rPr>
  </w:style>
  <w:style w:type="character" w:styleId="WW8Num30z3">
    <w:name w:val="WW8Num30z3"/>
    <w:qFormat/>
    <w:rPr>
      <w:rFonts w:ascii="Symbol" w:hAnsi="Symbol" w:cs="Symbol"/>
    </w:rPr>
  </w:style>
  <w:style w:type="character" w:styleId="WW8Num31z0">
    <w:name w:val="WW8Num31z0"/>
    <w:qFormat/>
    <w:rPr/>
  </w:style>
  <w:style w:type="character" w:styleId="Style5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rPr>
      <w:rFonts w:ascii="Times New Roman" w:hAnsi="Times New Roman" w:cs="Times New Roman"/>
      <w:sz w:val="20"/>
    </w:rPr>
  </w:style>
  <w:style w:type="character" w:styleId="FollowedHyperlink">
    <w:name w:val="FollowedHyperlink"/>
    <w:rPr>
      <w:color w:val="800080"/>
      <w:u w:val="single"/>
    </w:rPr>
  </w:style>
  <w:style w:type="character" w:styleId="Style6">
    <w:name w:val="Пункт Знак"/>
    <w:qFormat/>
    <w:rPr>
      <w:sz w:val="28"/>
      <w:lang w:val="ru-RU" w:bidi="ar-SA"/>
    </w:rPr>
  </w:style>
  <w:style w:type="character" w:styleId="Style7">
    <w:name w:val="комментарий"/>
    <w:qFormat/>
    <w:rPr>
      <w:b/>
      <w:i/>
      <w:shd w:fill="FFFF99" w:val="clear"/>
    </w:rPr>
  </w:style>
  <w:style w:type="character" w:styleId="1">
    <w:name w:val="Основной текст Знак1"/>
    <w:qFormat/>
    <w:rPr>
      <w:sz w:val="28"/>
      <w:szCs w:val="24"/>
      <w:lang w:val="ru-RU" w:bidi="ar-SA"/>
    </w:rPr>
  </w:style>
  <w:style w:type="character" w:styleId="Style8">
    <w:name w:val="Обычный+ без отступа Знак"/>
    <w:qFormat/>
    <w:rPr>
      <w:rFonts w:eastAsia="MS Mincho;Yu Gothic UI"/>
      <w:sz w:val="28"/>
      <w:szCs w:val="28"/>
      <w:lang w:val="ru-RU" w:bidi="ar-SA"/>
    </w:rPr>
  </w:style>
  <w:style w:type="character" w:styleId="Style9">
    <w:name w:val="Название Знак"/>
    <w:qFormat/>
    <w:rPr>
      <w:sz w:val="28"/>
    </w:rPr>
  </w:style>
  <w:style w:type="character" w:styleId="Style10">
    <w:name w:val="Верхний колонтитул Знак"/>
    <w:qFormat/>
    <w:rPr>
      <w:i/>
    </w:rPr>
  </w:style>
  <w:style w:type="character" w:styleId="Style11">
    <w:name w:val="Знак примечания"/>
    <w:qFormat/>
    <w:rPr>
      <w:sz w:val="16"/>
      <w:szCs w:val="16"/>
    </w:rPr>
  </w:style>
  <w:style w:type="paragraph" w:styleId="Heading">
    <w:name w:val="Heading"/>
    <w:basedOn w:val="Normal"/>
    <w:next w:val="BodyText"/>
    <w:qFormat/>
    <w:pPr>
      <w:spacing w:lineRule="auto" w:line="240"/>
      <w:ind w:hanging="0" w:start="0" w:end="0"/>
      <w:jc w:val="center"/>
    </w:pPr>
    <w:rPr>
      <w:lang w:val="en-US"/>
    </w:rPr>
  </w:style>
  <w:style w:type="paragraph" w:styleId="BodyText">
    <w:name w:val="Body Text"/>
    <w:basedOn w:val="Normal"/>
    <w:pPr>
      <w:tabs>
        <w:tab w:val="clear" w:pos="567"/>
        <w:tab w:val="right" w:pos="9360" w:leader="none"/>
      </w:tabs>
      <w:spacing w:lineRule="auto" w:line="240"/>
      <w:ind w:hanging="0" w:start="0" w:end="0"/>
      <w:jc w:val="start"/>
    </w:pPr>
    <w:rPr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567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4" w:space="1" w:color="000000"/>
      </w:pBdr>
      <w:tabs>
        <w:tab w:val="clear" w:pos="567"/>
        <w:tab w:val="center" w:pos="4153" w:leader="none"/>
        <w:tab w:val="right" w:pos="8306" w:leader="none"/>
      </w:tabs>
      <w:spacing w:lineRule="auto" w:line="240"/>
      <w:ind w:hanging="0" w:start="0" w:end="0"/>
      <w:jc w:val="center"/>
    </w:pPr>
    <w:rPr>
      <w:i/>
      <w:sz w:val="20"/>
      <w:lang w:val="en-US"/>
    </w:rPr>
  </w:style>
  <w:style w:type="paragraph" w:styleId="Footer">
    <w:name w:val="footer"/>
    <w:basedOn w:val="Normal"/>
    <w:pPr>
      <w:tabs>
        <w:tab w:val="clear" w:pos="567"/>
        <w:tab w:val="center" w:pos="4253" w:leader="none"/>
        <w:tab w:val="right" w:pos="9356" w:leader="none"/>
      </w:tabs>
      <w:spacing w:lineRule="auto" w:line="240"/>
      <w:ind w:hanging="0" w:start="0" w:end="0"/>
    </w:pPr>
    <w:rPr>
      <w:sz w:val="20"/>
    </w:rPr>
  </w:style>
  <w:style w:type="paragraph" w:styleId="TOC1">
    <w:name w:val="toc 1"/>
    <w:basedOn w:val="Normal"/>
    <w:next w:val="Normal"/>
    <w:pPr>
      <w:tabs>
        <w:tab w:val="clear" w:pos="567"/>
        <w:tab w:val="left" w:pos="540" w:leader="none"/>
        <w:tab w:val="right" w:pos="10195" w:leader="dot"/>
      </w:tabs>
      <w:spacing w:lineRule="auto" w:line="240" w:before="240" w:after="120"/>
      <w:ind w:hanging="539" w:start="539" w:end="1134"/>
      <w:jc w:val="start"/>
    </w:pPr>
    <w:rPr>
      <w:b/>
      <w:bCs/>
      <w:caps/>
      <w:szCs w:val="28"/>
      <w:lang w:val="en-US" w:eastAsia="en-US"/>
    </w:rPr>
  </w:style>
  <w:style w:type="paragraph" w:styleId="TOC2">
    <w:name w:val="toc 2"/>
    <w:basedOn w:val="Normal"/>
    <w:next w:val="Normal"/>
    <w:pPr>
      <w:tabs>
        <w:tab w:val="clear" w:pos="567"/>
        <w:tab w:val="left" w:pos="1080" w:leader="none"/>
        <w:tab w:val="right" w:pos="10195" w:leader="dot"/>
      </w:tabs>
      <w:spacing w:lineRule="auto" w:line="240" w:before="120" w:after="120"/>
      <w:ind w:hanging="594" w:start="1134" w:end="1134"/>
      <w:jc w:val="start"/>
    </w:pPr>
    <w:rPr>
      <w:b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567"/>
        <w:tab w:val="left" w:pos="1980" w:leader="none"/>
        <w:tab w:val="right" w:pos="10195" w:leader="dot"/>
      </w:tabs>
      <w:spacing w:lineRule="auto" w:line="240" w:before="0" w:after="120"/>
      <w:ind w:hanging="902" w:start="1979" w:end="1134"/>
      <w:jc w:val="start"/>
    </w:pPr>
    <w:rPr>
      <w:iCs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567"/>
        <w:tab w:val="left" w:pos="2268" w:leader="none"/>
        <w:tab w:val="right" w:pos="10195" w:leader="dot"/>
      </w:tabs>
      <w:spacing w:lineRule="auto" w:line="240" w:before="0" w:after="60"/>
      <w:ind w:hanging="567" w:start="2268" w:end="1134"/>
      <w:jc w:val="start"/>
    </w:pPr>
    <w:rPr>
      <w:sz w:val="24"/>
      <w:szCs w:val="24"/>
    </w:rPr>
  </w:style>
  <w:style w:type="paragraph" w:styleId="Style12">
    <w:name w:val="Схема документа"/>
    <w:basedOn w:val="Normal"/>
    <w:qFormat/>
    <w:pPr>
      <w:shd w:fill="000080" w:val="clear"/>
    </w:pPr>
    <w:rPr>
      <w:rFonts w:ascii="Tahoma" w:hAnsi="Tahoma" w:cs="Tahoma"/>
      <w:sz w:val="20"/>
    </w:rPr>
  </w:style>
  <w:style w:type="paragraph" w:styleId="Style13">
    <w:name w:val="Таблица шапка"/>
    <w:basedOn w:val="Normal"/>
    <w:qFormat/>
    <w:pPr>
      <w:keepNext w:val="true"/>
      <w:spacing w:lineRule="auto" w:line="240" w:before="40" w:after="40"/>
      <w:ind w:hanging="0" w:start="57" w:end="57"/>
      <w:jc w:val="start"/>
    </w:pPr>
    <w:rPr>
      <w:sz w:val="22"/>
    </w:rPr>
  </w:style>
  <w:style w:type="paragraph" w:styleId="FootnoteText">
    <w:name w:val="footnote text"/>
    <w:basedOn w:val="Normal"/>
    <w:pPr>
      <w:spacing w:lineRule="auto" w:line="240"/>
    </w:pPr>
    <w:rPr>
      <w:sz w:val="20"/>
    </w:rPr>
  </w:style>
  <w:style w:type="paragraph" w:styleId="Style14">
    <w:name w:val="Таблица текст"/>
    <w:basedOn w:val="Normal"/>
    <w:qFormat/>
    <w:pPr>
      <w:spacing w:lineRule="auto" w:line="240" w:before="40" w:after="40"/>
      <w:ind w:hanging="0" w:start="57" w:end="57"/>
      <w:jc w:val="start"/>
    </w:pPr>
    <w:rPr>
      <w:sz w:val="24"/>
    </w:rPr>
  </w:style>
  <w:style w:type="paragraph" w:styleId="Style15">
    <w:name w:val="Название объекта"/>
    <w:basedOn w:val="Normal"/>
    <w:next w:val="Normal"/>
    <w:qFormat/>
    <w:pPr>
      <w:pageBreakBefore/>
      <w:suppressAutoHyphens w:val="true"/>
      <w:spacing w:lineRule="auto" w:line="240" w:before="120" w:after="120"/>
      <w:ind w:hanging="0" w:start="0" w:end="0"/>
    </w:pPr>
    <w:rPr>
      <w:bCs/>
      <w:i/>
      <w:sz w:val="24"/>
    </w:rPr>
  </w:style>
  <w:style w:type="paragraph" w:styleId="TOC5">
    <w:name w:val="toc 5"/>
    <w:basedOn w:val="Normal"/>
    <w:next w:val="Normal"/>
    <w:pPr>
      <w:ind w:firstLine="567" w:start="1120" w:end="0"/>
      <w:jc w:val="start"/>
    </w:pPr>
    <w:rPr>
      <w:sz w:val="18"/>
      <w:szCs w:val="18"/>
    </w:rPr>
  </w:style>
  <w:style w:type="paragraph" w:styleId="TOC6">
    <w:name w:val="toc 6"/>
    <w:basedOn w:val="Normal"/>
    <w:next w:val="Normal"/>
    <w:pPr>
      <w:ind w:firstLine="567" w:start="1400" w:end="0"/>
      <w:jc w:val="start"/>
    </w:pPr>
    <w:rPr>
      <w:sz w:val="18"/>
      <w:szCs w:val="18"/>
    </w:rPr>
  </w:style>
  <w:style w:type="paragraph" w:styleId="TOC7">
    <w:name w:val="toc 7"/>
    <w:basedOn w:val="Normal"/>
    <w:next w:val="Normal"/>
    <w:pPr>
      <w:ind w:firstLine="567" w:start="1680" w:end="0"/>
      <w:jc w:val="start"/>
    </w:pPr>
    <w:rPr>
      <w:sz w:val="18"/>
      <w:szCs w:val="18"/>
    </w:rPr>
  </w:style>
  <w:style w:type="paragraph" w:styleId="TOC8">
    <w:name w:val="toc 8"/>
    <w:basedOn w:val="Normal"/>
    <w:next w:val="Normal"/>
    <w:pPr>
      <w:ind w:firstLine="567" w:start="1960" w:end="0"/>
      <w:jc w:val="start"/>
    </w:pPr>
    <w:rPr>
      <w:sz w:val="18"/>
      <w:szCs w:val="18"/>
    </w:rPr>
  </w:style>
  <w:style w:type="paragraph" w:styleId="TOC9">
    <w:name w:val="toc 9"/>
    <w:basedOn w:val="Normal"/>
    <w:next w:val="Normal"/>
    <w:pPr>
      <w:ind w:firstLine="567" w:start="2240" w:end="0"/>
      <w:jc w:val="start"/>
    </w:pPr>
    <w:rPr>
      <w:sz w:val="18"/>
      <w:szCs w:val="18"/>
    </w:rPr>
  </w:style>
  <w:style w:type="paragraph" w:styleId="Style16">
    <w:name w:val="Структура"/>
    <w:basedOn w:val="Normal"/>
    <w:qFormat/>
    <w:pPr>
      <w:pageBreakBefore/>
      <w:pBdr>
        <w:bottom w:val="thinThickSmallGap" w:sz="24" w:space="1" w:color="000000"/>
      </w:pBdr>
      <w:tabs>
        <w:tab w:val="clear" w:pos="567"/>
        <w:tab w:val="left" w:pos="851" w:leader="none"/>
      </w:tabs>
      <w:suppressAutoHyphens w:val="true"/>
      <w:spacing w:lineRule="auto" w:line="240" w:before="480" w:after="240"/>
      <w:ind w:hanging="0" w:start="0" w:end="2835"/>
      <w:jc w:val="start"/>
      <w:outlineLvl w:val="0"/>
    </w:pPr>
    <w:rPr>
      <w:rFonts w:ascii="Arial" w:hAnsi="Arial" w:cs="Arial"/>
      <w:b/>
      <w:caps/>
      <w:sz w:val="36"/>
      <w:szCs w:val="36"/>
    </w:rPr>
  </w:style>
  <w:style w:type="paragraph" w:styleId="Style17">
    <w:name w:val="Главы"/>
    <w:basedOn w:val="Style16"/>
    <w:next w:val="Normal"/>
    <w:qFormat/>
    <w:pPr>
      <w:numPr>
        <w:ilvl w:val="0"/>
        <w:numId w:val="0"/>
      </w:numPr>
      <w:pBdr>
        <w:bottom w:val="nil"/>
      </w:pBdr>
      <w:spacing w:lineRule="auto" w:line="360" w:before="1440" w:after="720"/>
      <w:ind w:hanging="0" w:start="0" w:end="0"/>
      <w:jc w:val="center"/>
    </w:pPr>
    <w:rPr>
      <w:spacing w:val="40"/>
      <w:sz w:val="44"/>
      <w:szCs w:val="44"/>
    </w:rPr>
  </w:style>
  <w:style w:type="paragraph" w:styleId="Style18">
    <w:name w:val="Служебный"/>
    <w:basedOn w:val="Style17"/>
    <w:qFormat/>
    <w:pPr>
      <w:numPr>
        <w:ilvl w:val="0"/>
        <w:numId w:val="0"/>
      </w:numPr>
      <w:ind w:hanging="0" w:start="0" w:end="0"/>
    </w:pPr>
    <w:rPr/>
  </w:style>
  <w:style w:type="paragraph" w:styleId="Style19">
    <w:name w:val="маркированный"/>
    <w:basedOn w:val="Normal"/>
    <w:qFormat/>
    <w:pPr>
      <w:ind w:hanging="0" w:start="0" w:end="0"/>
    </w:pPr>
    <w:rPr/>
  </w:style>
  <w:style w:type="paragraph" w:styleId="Style20">
    <w:name w:val="Пункт"/>
    <w:basedOn w:val="Normal"/>
    <w:qFormat/>
    <w:pPr>
      <w:numPr>
        <w:ilvl w:val="0"/>
        <w:numId w:val="9"/>
      </w:numPr>
    </w:pPr>
    <w:rPr/>
  </w:style>
  <w:style w:type="paragraph" w:styleId="Style21">
    <w:name w:val="Подпункт"/>
    <w:basedOn w:val="Normal"/>
    <w:qFormat/>
    <w:pPr>
      <w:tabs>
        <w:tab w:val="clear" w:pos="567"/>
        <w:tab w:val="left" w:pos="1134" w:leader="none"/>
      </w:tabs>
      <w:ind w:hanging="1134" w:start="1134" w:end="0"/>
    </w:pPr>
    <w:rPr/>
  </w:style>
  <w:style w:type="paragraph" w:styleId="-2">
    <w:name w:val="Пункт-2"/>
    <w:basedOn w:val="Style20"/>
    <w:qFormat/>
    <w:pPr>
      <w:keepNext w:val="true"/>
      <w:outlineLvl w:val="2"/>
    </w:pPr>
    <w:rPr>
      <w:b/>
    </w:rPr>
  </w:style>
  <w:style w:type="paragraph" w:styleId="Style22">
    <w:name w:val="Подподпункт"/>
    <w:basedOn w:val="Normal"/>
    <w:qFormat/>
    <w:pPr>
      <w:numPr>
        <w:ilvl w:val="0"/>
        <w:numId w:val="9"/>
      </w:numPr>
    </w:pPr>
    <w:rPr/>
  </w:style>
  <w:style w:type="paragraph" w:styleId="Style23">
    <w:name w:val="Нумерованный список"/>
    <w:basedOn w:val="Normal"/>
    <w:qFormat/>
    <w:pPr>
      <w:autoSpaceDE w:val="false"/>
      <w:spacing w:before="60" w:after="0"/>
      <w:ind w:hanging="0" w:start="0" w:end="0"/>
    </w:pPr>
    <w:rPr>
      <w:szCs w:val="24"/>
    </w:rPr>
  </w:style>
  <w:style w:type="paragraph" w:styleId="Style24">
    <w:name w:val="Текст таблицы"/>
    <w:basedOn w:val="Normal"/>
    <w:qFormat/>
    <w:pPr>
      <w:spacing w:lineRule="auto" w:line="240" w:before="40" w:after="40"/>
      <w:ind w:hanging="0" w:start="57" w:end="57"/>
      <w:jc w:val="start"/>
    </w:pPr>
    <w:rPr>
      <w:sz w:val="24"/>
      <w:szCs w:val="24"/>
    </w:rPr>
  </w:style>
  <w:style w:type="paragraph" w:styleId="Style25">
    <w:name w:val="Пункт б/н"/>
    <w:basedOn w:val="Normal"/>
    <w:qFormat/>
    <w:pPr>
      <w:tabs>
        <w:tab w:val="clear" w:pos="567"/>
        <w:tab w:val="left" w:pos="1134" w:leader="none"/>
      </w:tabs>
    </w:pPr>
    <w:rPr/>
  </w:style>
  <w:style w:type="paragraph" w:styleId="Style26">
    <w:name w:val="Маркированный список"/>
    <w:basedOn w:val="Normal"/>
    <w:qFormat/>
    <w:pPr>
      <w:spacing w:lineRule="auto" w:line="240"/>
      <w:ind w:hanging="374" w:start="731" w:end="0"/>
    </w:pPr>
    <w:rPr/>
  </w:style>
  <w:style w:type="paragraph" w:styleId="Style27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28">
    <w:name w:val="Текст примечания"/>
    <w:basedOn w:val="Normal"/>
    <w:qFormat/>
    <w:pPr/>
    <w:rPr>
      <w:sz w:val="20"/>
    </w:rPr>
  </w:style>
  <w:style w:type="paragraph" w:styleId="Style29">
    <w:name w:val="Тема примечания"/>
    <w:basedOn w:val="Style28"/>
    <w:next w:val="Style28"/>
    <w:qFormat/>
    <w:pPr/>
    <w:rPr>
      <w:b/>
      <w:bCs/>
    </w:rPr>
  </w:style>
  <w:style w:type="paragraph" w:styleId="3">
    <w:name w:val="Маркированный список 3"/>
    <w:basedOn w:val="Normal"/>
    <w:qFormat/>
    <w:pPr>
      <w:numPr>
        <w:ilvl w:val="0"/>
        <w:numId w:val="2"/>
      </w:numPr>
      <w:tabs>
        <w:tab w:val="clear" w:pos="567"/>
        <w:tab w:val="left" w:pos="1080" w:leader="none"/>
      </w:tabs>
      <w:spacing w:before="120" w:after="0"/>
      <w:ind w:firstLine="720" w:start="0" w:end="0"/>
    </w:pPr>
    <w:rPr>
      <w:i/>
      <w:iCs/>
      <w:sz w:val="24"/>
      <w:szCs w:val="24"/>
    </w:rPr>
  </w:style>
  <w:style w:type="paragraph" w:styleId="2">
    <w:name w:val="Маркированный список 2"/>
    <w:basedOn w:val="Normal"/>
    <w:qFormat/>
    <w:pPr>
      <w:widowControl w:val="false"/>
      <w:numPr>
        <w:ilvl w:val="0"/>
        <w:numId w:val="10"/>
      </w:numPr>
      <w:spacing w:before="120" w:after="0"/>
      <w:ind w:hanging="357" w:start="1429" w:end="0"/>
    </w:pPr>
    <w:rPr/>
  </w:style>
  <w:style w:type="paragraph" w:styleId="21">
    <w:name w:val="Основной текст 2"/>
    <w:basedOn w:val="Normal"/>
    <w:qFormat/>
    <w:pPr>
      <w:tabs>
        <w:tab w:val="clear" w:pos="567"/>
        <w:tab w:val="left" w:pos="2201" w:leader="none"/>
      </w:tabs>
      <w:spacing w:lineRule="auto" w:line="240"/>
      <w:ind w:hanging="0" w:start="0" w:end="0"/>
      <w:jc w:val="center"/>
    </w:pPr>
    <w:rPr>
      <w:kern w:val="2"/>
    </w:rPr>
  </w:style>
  <w:style w:type="paragraph" w:styleId="BodyTextIndent">
    <w:name w:val="Body Text Indent"/>
    <w:basedOn w:val="Normal"/>
    <w:pPr>
      <w:spacing w:lineRule="auto" w:line="240"/>
    </w:pPr>
    <w:rPr>
      <w:i/>
    </w:rPr>
  </w:style>
  <w:style w:type="paragraph" w:styleId="22">
    <w:name w:val="Основной текст с отступом 2"/>
    <w:basedOn w:val="Normal"/>
    <w:qFormat/>
    <w:pPr>
      <w:spacing w:lineRule="auto" w:line="240"/>
    </w:pPr>
    <w:rPr>
      <w:szCs w:val="24"/>
    </w:rPr>
  </w:style>
  <w:style w:type="paragraph" w:styleId="11">
    <w:name w:val="Стиль Заголовок 1 + по ширине"/>
    <w:basedOn w:val="Heading1"/>
    <w:qFormat/>
    <w:pPr>
      <w:pageBreakBefore w:val="false"/>
      <w:numPr>
        <w:ilvl w:val="0"/>
        <w:numId w:val="8"/>
      </w:numPr>
      <w:jc w:val="both"/>
    </w:pPr>
    <w:rPr>
      <w:bCs/>
    </w:rPr>
  </w:style>
  <w:style w:type="paragraph" w:styleId="31">
    <w:name w:val="заголовок 3"/>
    <w:basedOn w:val="Normal"/>
    <w:next w:val="Normal"/>
    <w:qFormat/>
    <w:pPr>
      <w:keepNext w:val="true"/>
      <w:autoSpaceDE w:val="false"/>
      <w:spacing w:before="120" w:after="0"/>
      <w:ind w:firstLine="720" w:start="0" w:end="0"/>
      <w:jc w:val="center"/>
      <w:outlineLvl w:val="2"/>
    </w:pPr>
    <w:rPr>
      <w:sz w:val="20"/>
      <w:szCs w:val="24"/>
    </w:rPr>
  </w:style>
  <w:style w:type="paragraph" w:styleId="Style30">
    <w:name w:val="Обычный+ без отступа"/>
    <w:basedOn w:val="Normal"/>
    <w:qFormat/>
    <w:pPr>
      <w:autoSpaceDE w:val="false"/>
      <w:spacing w:before="120" w:after="0"/>
      <w:ind w:hanging="0" w:start="0" w:end="0"/>
    </w:pPr>
    <w:rPr>
      <w:rFonts w:eastAsia="MS Mincho;Yu Gothic UI"/>
      <w:szCs w:val="28"/>
    </w:rPr>
  </w:style>
  <w:style w:type="paragraph" w:styleId="Style31">
    <w:name w:val="Приложение"/>
    <w:basedOn w:val="Heading1"/>
    <w:qFormat/>
    <w:pPr>
      <w:pageBreakBefore w:val="false"/>
      <w:numPr>
        <w:ilvl w:val="0"/>
        <w:numId w:val="0"/>
      </w:numPr>
      <w:spacing w:lineRule="auto" w:line="360" w:before="60" w:after="0"/>
      <w:ind w:hanging="0" w:start="0" w:end="0"/>
      <w:jc w:val="center"/>
    </w:pPr>
    <w:rPr>
      <w:rFonts w:cs="Arial"/>
      <w:bCs/>
      <w:kern w:val="0"/>
      <w:sz w:val="28"/>
      <w:szCs w:val="28"/>
    </w:rPr>
  </w:style>
  <w:style w:type="paragraph" w:styleId="Style32">
    <w:name w:val="Подподподпункт"/>
    <w:basedOn w:val="Normal"/>
    <w:qFormat/>
    <w:pPr>
      <w:tabs>
        <w:tab w:val="clear" w:pos="567"/>
        <w:tab w:val="left" w:pos="1134" w:leader="none"/>
        <w:tab w:val="left" w:pos="1701" w:leader="none"/>
        <w:tab w:val="left" w:pos="2448" w:leader="none"/>
      </w:tabs>
      <w:ind w:hanging="1008" w:start="2448" w:end="0"/>
    </w:pPr>
    <w:rPr/>
  </w:style>
  <w:style w:type="paragraph" w:styleId="12">
    <w:name w:val="Пункт1"/>
    <w:basedOn w:val="Normal"/>
    <w:qFormat/>
    <w:pPr>
      <w:numPr>
        <w:ilvl w:val="0"/>
        <w:numId w:val="8"/>
      </w:numPr>
      <w:spacing w:before="240" w:after="0"/>
      <w:jc w:val="center"/>
    </w:pPr>
    <w:rPr>
      <w:rFonts w:ascii="Arial" w:hAnsi="Arial" w:cs="Arial"/>
      <w:b/>
      <w:szCs w:val="28"/>
    </w:rPr>
  </w:style>
  <w:style w:type="paragraph" w:styleId="32">
    <w:name w:val="Основной текст с отступом 3"/>
    <w:basedOn w:val="Normal"/>
    <w:qFormat/>
    <w:pPr>
      <w:spacing w:lineRule="auto" w:line="240"/>
    </w:pPr>
    <w:rPr>
      <w:i/>
      <w:sz w:val="26"/>
      <w:szCs w:val="26"/>
    </w:rPr>
  </w:style>
  <w:style w:type="paragraph" w:styleId="Style33">
    <w:name w:val="Знак Знак Знак Знак Знак Знак"/>
    <w:basedOn w:val="Normal"/>
    <w:next w:val="Heading1"/>
    <w:qFormat/>
    <w:pPr>
      <w:spacing w:lineRule="exact" w:line="240" w:before="0" w:after="160"/>
      <w:ind w:hanging="0" w:start="0" w:end="0"/>
    </w:pPr>
    <w:rPr>
      <w:rFonts w:ascii="Verdana" w:hAnsi="Verdana" w:cs="Verdana"/>
      <w:sz w:val="20"/>
      <w:lang w:val="en-US"/>
    </w:rPr>
  </w:style>
  <w:style w:type="paragraph" w:styleId="DefaultParagraphFontParaCharChar">
    <w:name w:val="Default Paragraph Font Para Char Char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CharChar">
    <w:name w:val="Char Char Знак Знак Знак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Style34">
    <w:name w:val="Абзац списка"/>
    <w:basedOn w:val="Normal"/>
    <w:qFormat/>
    <w:pPr>
      <w:ind w:firstLine="567" w:start="708" w:end="0"/>
    </w:pPr>
    <w:rPr/>
  </w:style>
  <w:style w:type="paragraph" w:styleId="NormalWeb">
    <w:name w:val="Normal (Web)"/>
    <w:basedOn w:val="Normal"/>
    <w:qFormat/>
    <w:pPr>
      <w:spacing w:lineRule="auto" w:line="240" w:before="100" w:after="100"/>
      <w:ind w:hanging="0" w:start="0" w:end="0"/>
      <w:jc w:val="start"/>
    </w:pPr>
    <w:rPr>
      <w:sz w:val="20"/>
    </w:rPr>
  </w:style>
  <w:style w:type="paragraph" w:styleId="Style35">
    <w:name w:val="[Основной абзац]"/>
    <w:basedOn w:val="Normal"/>
    <w:qFormat/>
    <w:pPr>
      <w:widowControl w:val="false"/>
      <w:autoSpaceDE w:val="false"/>
      <w:spacing w:lineRule="auto" w:line="288"/>
      <w:ind w:hanging="0" w:start="0" w:end="0"/>
      <w:jc w:val="start"/>
      <w:textAlignment w:val="center"/>
    </w:pPr>
    <w:rPr>
      <w:rFonts w:ascii="MinionPro-Regular;Times New Roman" w:hAnsi="MinionPro-Regular;Times New Roman" w:eastAsia="Cambria" w:cs="MinionPro-Regular;Times New Roman"/>
      <w:color w:val="000000"/>
      <w:sz w:val="24"/>
      <w:szCs w:val="24"/>
    </w:rPr>
  </w:style>
  <w:style w:type="paragraph" w:styleId="ConsPlusNormal">
    <w:name w:val="ConsPlusNormal"/>
    <w:qFormat/>
    <w:pPr>
      <w:widowControl w:val="false"/>
      <w:autoSpaceDE w:val="false"/>
      <w:bidi w:val="0"/>
    </w:pPr>
    <w:rPr>
      <w:rFonts w:ascii="Calibri" w:hAnsi="Calibri" w:eastAsia="Times New Roman" w:cs="Calibri"/>
      <w:color w:val="auto"/>
      <w:sz w:val="22"/>
      <w:szCs w:val="20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://www.tender.lot-online.ru/" TargetMode="External"/><Relationship Id="rId4" Type="http://schemas.openxmlformats.org/officeDocument/2006/relationships/hyperlink" Target="http://www.mrsk-1.ru/" TargetMode="Externa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2016-08-02T12:33:00Z</dcterms:created>
  <dc:creator>С.Б.Дашков</dc:creator>
  <dc:description/>
  <cp:keywords/>
  <dc:language>en-US</dc:language>
  <cp:lastModifiedBy>Миненок Евгения Валерьевна</cp:lastModifiedBy>
  <cp:lastPrinted>2021-08-10T15:40:00Z</cp:lastPrinted>
  <dcterms:modified xsi:type="dcterms:W3CDTF">2025-12-15T14:49:00Z</dcterms:modified>
  <cp:revision>378</cp:revision>
  <dc:subject/>
  <dc:title>Типовая закупочная документация</dc:title>
</cp:coreProperties>
</file>