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"/>
        <w:rPr>
          <w:sz w:val="26"/>
          <w:szCs w:val="26"/>
        </w:rPr>
      </w:pPr>
      <w:r>
        <w:rPr>
          <w:sz w:val="26"/>
          <w:szCs w:val="26"/>
        </w:rPr>
        <w:t>ПРОТОКОЛ №58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  <w:t>Закупка у единственного поставщика (исполнителя, подрядчика)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5043"/>
      </w:tblGrid>
      <w:tr>
        <w:trPr/>
        <w:tc>
          <w:tcPr>
            <w:tcW w:w="4785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пгт  Излучинск</w:t>
            </w:r>
          </w:p>
        </w:tc>
        <w:tc>
          <w:tcPr>
            <w:tcW w:w="5043" w:type="dxa"/>
            <w:tcBorders/>
          </w:tcPr>
          <w:p>
            <w:pPr>
              <w:pStyle w:val="Normal"/>
              <w:rPr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                 </w:t>
            </w:r>
            <w:r>
              <w:rPr>
                <w:sz w:val="26"/>
                <w:szCs w:val="26"/>
              </w:rPr>
              <w:t xml:space="preserve">                </w:t>
            </w:r>
            <w:r>
              <w:rPr>
                <w:sz w:val="26"/>
                <w:szCs w:val="26"/>
              </w:rPr>
              <w:t>«____» декабря  2025г.</w:t>
            </w:r>
          </w:p>
        </w:tc>
      </w:tr>
    </w:tbl>
    <w:p>
      <w:pPr>
        <w:pStyle w:val="11"/>
        <w:spacing w:lineRule="auto" w:line="276"/>
        <w:ind w:hanging="0" w:end="0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</w:r>
    </w:p>
    <w:p>
      <w:pPr>
        <w:pStyle w:val="11"/>
        <w:spacing w:lineRule="auto" w:line="276"/>
        <w:ind w:hanging="0" w:end="0"/>
        <w:rPr/>
      </w:pPr>
      <w:r>
        <w:rPr>
          <w:b/>
          <w:sz w:val="26"/>
          <w:szCs w:val="26"/>
          <w:lang w:val="ru-RU"/>
        </w:rPr>
        <w:t>Форма заседания:</w:t>
      </w:r>
      <w:r>
        <w:rPr>
          <w:sz w:val="26"/>
          <w:szCs w:val="26"/>
          <w:lang w:val="ru-RU"/>
        </w:rPr>
        <w:t xml:space="preserve"> очное голосование. </w:t>
      </w:r>
    </w:p>
    <w:p>
      <w:pPr>
        <w:pStyle w:val="Normal"/>
        <w:widowControl w:val="false"/>
        <w:autoSpaceDE w:val="false"/>
        <w:jc w:val="both"/>
        <w:rPr>
          <w:bCs/>
          <w:kern w:val="2"/>
          <w:sz w:val="25"/>
          <w:szCs w:val="25"/>
        </w:rPr>
      </w:pPr>
      <w:r>
        <w:rPr>
          <w:b/>
          <w:sz w:val="26"/>
          <w:szCs w:val="26"/>
        </w:rPr>
        <w:t>Повестка дня:</w:t>
      </w:r>
      <w:r>
        <w:rPr>
          <w:sz w:val="26"/>
          <w:szCs w:val="26"/>
        </w:rPr>
        <w:t xml:space="preserve"> Закупка у единственного поставщика – </w:t>
      </w:r>
      <w:r>
        <w:rPr>
          <w:bCs/>
          <w:kern w:val="2"/>
          <w:sz w:val="25"/>
          <w:szCs w:val="25"/>
        </w:rPr>
        <w:t xml:space="preserve">на поставку </w:t>
      </w:r>
      <w:r>
        <w:rPr>
          <w:bCs/>
          <w:color w:val="000000"/>
          <w:sz w:val="25"/>
          <w:szCs w:val="25"/>
          <w:lang w:eastAsia="en-US"/>
        </w:rPr>
        <w:t>технологического    оборудования бассейна</w:t>
      </w:r>
    </w:p>
    <w:p>
      <w:pPr>
        <w:pStyle w:val="Normal"/>
        <w:shd w:fill="FFFFFF" w:val="clear"/>
        <w:rPr>
          <w:rStyle w:val="Style15"/>
          <w:sz w:val="26"/>
          <w:szCs w:val="26"/>
        </w:rPr>
      </w:pPr>
      <w:r>
        <w:rPr>
          <w:bCs/>
          <w:kern w:val="2"/>
          <w:sz w:val="25"/>
          <w:szCs w:val="25"/>
        </w:rPr>
      </w:r>
    </w:p>
    <w:p>
      <w:pPr>
        <w:pStyle w:val="11"/>
        <w:spacing w:lineRule="auto" w:line="276"/>
        <w:ind w:hanging="0" w:end="0"/>
        <w:jc w:val="both"/>
        <w:rPr/>
      </w:pPr>
      <w:r>
        <w:rPr>
          <w:rStyle w:val="Style15"/>
          <w:sz w:val="26"/>
          <w:szCs w:val="26"/>
        </w:rPr>
        <w:t xml:space="preserve">Форма процедуры закупки: </w:t>
      </w:r>
      <w:r>
        <w:rPr>
          <w:sz w:val="26"/>
          <w:szCs w:val="26"/>
        </w:rPr>
        <w:t>закупка у единственного поставщика (исполнителя, подрядчика) (далее - закупка у единственного поставщика).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ЗАКАЗЧИК: МАУ ДО «СШ  НВР»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СОСТАВ КОМИССИИ:</w:t>
      </w:r>
    </w:p>
    <w:p>
      <w:pPr>
        <w:pStyle w:val="31"/>
        <w:spacing w:before="0" w:after="0"/>
        <w:ind w:start="0" w:end="0"/>
        <w:jc w:val="both"/>
        <w:rPr/>
      </w:pPr>
      <w:r>
        <w:rPr>
          <w:sz w:val="26"/>
          <w:szCs w:val="26"/>
        </w:rPr>
        <w:t>Валеев Р.И. –  и.о. директора, председатель котировочной комиссии.</w:t>
      </w:r>
    </w:p>
    <w:p>
      <w:pPr>
        <w:pStyle w:val="31"/>
        <w:spacing w:before="0" w:after="0"/>
        <w:ind w:start="0" w:end="0"/>
        <w:jc w:val="both"/>
        <w:rPr/>
      </w:pPr>
      <w:r>
        <w:rPr>
          <w:sz w:val="26"/>
          <w:szCs w:val="26"/>
        </w:rPr>
        <w:t>Лисакова О.А. –  главный бухгалтер, заместитель председателя котировочной комиссии.</w:t>
      </w:r>
    </w:p>
    <w:p>
      <w:pPr>
        <w:pStyle w:val="31"/>
        <w:spacing w:before="0" w:after="0"/>
        <w:ind w:start="0" w:end="0"/>
        <w:jc w:val="both"/>
        <w:rPr>
          <w:sz w:val="26"/>
          <w:szCs w:val="26"/>
        </w:rPr>
      </w:pPr>
      <w:r>
        <w:rPr>
          <w:sz w:val="25"/>
          <w:szCs w:val="25"/>
        </w:rPr>
        <w:t xml:space="preserve">Пиникер А.Е. </w:t>
      </w:r>
      <w:r>
        <w:rPr>
          <w:sz w:val="26"/>
          <w:szCs w:val="26"/>
        </w:rPr>
        <w:t>–  секретарь руководителя, секретарь котировочной комиссии.</w:t>
      </w:r>
    </w:p>
    <w:p>
      <w:pPr>
        <w:pStyle w:val="31"/>
        <w:spacing w:before="0" w:after="0"/>
        <w:ind w:start="0" w:end="0"/>
        <w:jc w:val="both"/>
        <w:rPr>
          <w:sz w:val="26"/>
          <w:szCs w:val="26"/>
        </w:rPr>
      </w:pPr>
      <w:r>
        <w:rPr>
          <w:sz w:val="26"/>
          <w:szCs w:val="26"/>
        </w:rPr>
        <w:t>Члены комиссии:</w:t>
      </w:r>
    </w:p>
    <w:p>
      <w:pPr>
        <w:pStyle w:val="Normal"/>
        <w:jc w:val="both"/>
        <w:rPr/>
      </w:pPr>
      <w:r>
        <w:rPr>
          <w:bCs/>
          <w:sz w:val="28"/>
          <w:szCs w:val="28"/>
        </w:rPr>
        <w:t xml:space="preserve">Зинченко А.Г.- специалист по безопасности </w:t>
      </w:r>
    </w:p>
    <w:p>
      <w:pPr>
        <w:pStyle w:val="31"/>
        <w:spacing w:before="0" w:after="0"/>
        <w:ind w:start="0" w:end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Федотова Е.П. – бухгалтер </w:t>
      </w:r>
    </w:p>
    <w:p>
      <w:pPr>
        <w:pStyle w:val="31"/>
        <w:spacing w:before="0" w:after="0"/>
        <w:ind w:start="0" w:end="0"/>
        <w:jc w:val="both"/>
        <w:rPr>
          <w:sz w:val="26"/>
          <w:szCs w:val="26"/>
        </w:rPr>
      </w:pPr>
      <w:r>
        <w:rPr>
          <w:sz w:val="26"/>
          <w:szCs w:val="26"/>
        </w:rPr>
        <w:t>Шарапов Р.С. -тренер</w:t>
      </w:r>
    </w:p>
    <w:p>
      <w:pPr>
        <w:pStyle w:val="BodyText"/>
        <w:spacing w:lineRule="auto" w:line="276"/>
        <w:rPr/>
      </w:pPr>
      <w:r>
        <w:rPr/>
        <w:t>Абрамян А.А. – юрисконсульт</w:t>
      </w:r>
    </w:p>
    <w:p>
      <w:pPr>
        <w:pStyle w:val="BodyText"/>
        <w:spacing w:lineRule="auto" w:line="27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numPr>
          <w:ilvl w:val="0"/>
          <w:numId w:val="2"/>
        </w:numPr>
        <w:spacing w:lineRule="auto" w:line="276"/>
        <w:rPr>
          <w:sz w:val="26"/>
          <w:szCs w:val="26"/>
        </w:rPr>
      </w:pPr>
      <w:r>
        <w:rPr>
          <w:rStyle w:val="Style15"/>
          <w:sz w:val="26"/>
          <w:szCs w:val="26"/>
        </w:rPr>
        <w:t xml:space="preserve">Предоставление документации о закупке: </w:t>
      </w:r>
      <w:r>
        <w:rPr>
          <w:sz w:val="26"/>
          <w:szCs w:val="26"/>
        </w:rPr>
        <w:t>Не предусмотрено ввиду особенностей способа закупки у единственного поставщика (документация о закупке не разрабатывается, не оформляется и не предоставляется).</w:t>
      </w:r>
    </w:p>
    <w:p>
      <w:pPr>
        <w:pStyle w:val="23"/>
        <w:numPr>
          <w:ilvl w:val="0"/>
          <w:numId w:val="2"/>
        </w:numPr>
        <w:shd w:fill="auto" w:val="clear"/>
        <w:tabs>
          <w:tab w:val="clear" w:pos="708"/>
          <w:tab w:val="left" w:pos="596" w:leader="none"/>
        </w:tabs>
        <w:spacing w:lineRule="auto" w:line="276" w:before="0" w:after="0"/>
        <w:ind w:hanging="0" w:start="20" w:end="80"/>
        <w:jc w:val="both"/>
        <w:rPr>
          <w:sz w:val="26"/>
          <w:szCs w:val="26"/>
        </w:rPr>
      </w:pPr>
      <w:r>
        <w:rPr>
          <w:rStyle w:val="Style15"/>
          <w:sz w:val="26"/>
          <w:szCs w:val="26"/>
        </w:rPr>
        <w:t xml:space="preserve">Рассмотрение предложений участников закупки: </w:t>
      </w:r>
      <w:r>
        <w:rPr>
          <w:sz w:val="26"/>
          <w:szCs w:val="26"/>
        </w:rPr>
        <w:t>Не предусмотрено ввиду особенностей способа закупки у единственного поставщика.</w:t>
      </w:r>
    </w:p>
    <w:p>
      <w:pPr>
        <w:pStyle w:val="24"/>
        <w:numPr>
          <w:ilvl w:val="0"/>
          <w:numId w:val="2"/>
        </w:numPr>
        <w:shd w:fill="auto" w:val="clear"/>
        <w:tabs>
          <w:tab w:val="clear" w:pos="708"/>
          <w:tab w:val="left" w:pos="596" w:leader="none"/>
        </w:tabs>
        <w:spacing w:lineRule="auto" w:line="276"/>
        <w:ind w:hanging="0" w:start="20" w:end="0"/>
        <w:jc w:val="both"/>
        <w:rPr>
          <w:sz w:val="26"/>
          <w:szCs w:val="26"/>
        </w:rPr>
      </w:pPr>
      <w:r>
        <w:rPr>
          <w:sz w:val="26"/>
          <w:szCs w:val="26"/>
        </w:rPr>
        <w:t>Регламентация применения заказчиком способа закупки у единственного поставщика.</w:t>
      </w:r>
    </w:p>
    <w:p>
      <w:pPr>
        <w:pStyle w:val="23"/>
        <w:numPr>
          <w:ilvl w:val="1"/>
          <w:numId w:val="2"/>
        </w:numPr>
        <w:shd w:fill="auto" w:val="clear"/>
        <w:tabs>
          <w:tab w:val="clear" w:pos="708"/>
          <w:tab w:val="left" w:pos="591" w:leader="none"/>
          <w:tab w:val="left" w:pos="3222" w:leader="underscore"/>
          <w:tab w:val="left" w:pos="4422" w:leader="underscore"/>
          <w:tab w:val="left" w:pos="5271" w:leader="underscore"/>
          <w:tab w:val="left" w:pos="5881" w:leader="underscore"/>
        </w:tabs>
        <w:spacing w:lineRule="auto" w:line="276" w:before="0" w:after="176"/>
        <w:ind w:hanging="0" w:start="20" w:end="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Закупка у единственного поставщика проводится в соответствии с Положением  о закупке товаров, работ, услуг муниципального автономного учреждения дополнительного образования МАУ ДО «СШ  НВР», утверждённым Наблюдательным советом </w:t>
      </w:r>
      <w:r>
        <w:rPr>
          <w:sz w:val="28"/>
          <w:szCs w:val="28"/>
        </w:rPr>
        <w:t xml:space="preserve">(протокол </w:t>
      </w:r>
      <w:r>
        <w:rPr>
          <w:sz w:val="26"/>
          <w:szCs w:val="26"/>
        </w:rPr>
        <w:t>№07 от 18.10.2024г.).</w:t>
      </w:r>
    </w:p>
    <w:p>
      <w:pPr>
        <w:pStyle w:val="23"/>
        <w:numPr>
          <w:ilvl w:val="1"/>
          <w:numId w:val="2"/>
        </w:numPr>
        <w:shd w:fill="auto" w:val="clear"/>
        <w:tabs>
          <w:tab w:val="clear" w:pos="708"/>
          <w:tab w:val="left" w:pos="591" w:leader="none"/>
          <w:tab w:val="left" w:pos="3222" w:leader="underscore"/>
          <w:tab w:val="left" w:pos="4422" w:leader="underscore"/>
          <w:tab w:val="left" w:pos="5271" w:leader="underscore"/>
          <w:tab w:val="left" w:pos="5881" w:leader="underscore"/>
        </w:tabs>
        <w:spacing w:lineRule="auto" w:line="276" w:before="0" w:after="176"/>
        <w:ind w:hanging="0" w:start="20" w:end="20"/>
        <w:jc w:val="both"/>
        <w:rPr>
          <w:sz w:val="26"/>
          <w:szCs w:val="26"/>
        </w:rPr>
      </w:pPr>
      <w:r>
        <w:rPr>
          <w:sz w:val="26"/>
          <w:szCs w:val="26"/>
        </w:rPr>
        <w:t>Способ закупки у единственного поставщика не является какой-либо формой торгов и, соответственно, не попадает под регулирование статей 447-449 Гражданского кодекса Российской Федерации, а также статьи 17 Федерального закона от 26.07.2006 № 135-ФЗ «О защите конкуренции», регламентирующей антимонопольные требования к торгам, запросу котировок цен на товары.</w:t>
      </w:r>
    </w:p>
    <w:p>
      <w:pPr>
        <w:pStyle w:val="23"/>
        <w:numPr>
          <w:ilvl w:val="1"/>
          <w:numId w:val="2"/>
        </w:numPr>
        <w:shd w:fill="auto" w:val="clear"/>
        <w:tabs>
          <w:tab w:val="clear" w:pos="708"/>
          <w:tab w:val="left" w:pos="596" w:leader="none"/>
        </w:tabs>
        <w:spacing w:lineRule="auto" w:line="276" w:before="0" w:after="180"/>
        <w:ind w:hanging="0" w:start="20" w:end="20"/>
        <w:jc w:val="both"/>
        <w:rPr>
          <w:sz w:val="26"/>
          <w:szCs w:val="26"/>
        </w:rPr>
      </w:pPr>
      <w:r>
        <w:rPr>
          <w:sz w:val="26"/>
          <w:szCs w:val="26"/>
        </w:rPr>
        <w:t>Ввиду особенностей способа закупки у единственного поставщика размещение настоящего извещения о такой закупке на Официальном общероссийском сайте носит информационный характер и не имеет целью отбор участников закупки для заключения договора с заказчиком.</w:t>
      </w:r>
    </w:p>
    <w:p>
      <w:pPr>
        <w:pStyle w:val="23"/>
        <w:numPr>
          <w:ilvl w:val="1"/>
          <w:numId w:val="2"/>
        </w:numPr>
        <w:shd w:fill="auto" w:val="clear"/>
        <w:tabs>
          <w:tab w:val="clear" w:pos="708"/>
          <w:tab w:val="left" w:pos="582" w:leader="none"/>
        </w:tabs>
        <w:spacing w:lineRule="auto" w:line="276" w:before="0" w:after="180"/>
        <w:ind w:hanging="0" w:start="20" w:end="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Способ закупки у единственного поставщика не предусматривает требований к содержанию, форме, оформлению и составу заявки (предложения участников закупки не рассматриваются, итоги закупки не подводятся), в связи с чем, не устанавливаются критерии и порядок оценки и сопоставления заявок на участие в закупке, предусмотренные частями 9, 10 статьи 4 Федерального закона от 18.07.2011 № 223-Ф3 «О закупках товаров, работ, услуг отдельными видами юридических лиц». </w:t>
      </w:r>
    </w:p>
    <w:p>
      <w:pPr>
        <w:pStyle w:val="23"/>
        <w:shd w:fill="auto" w:val="clear"/>
        <w:tabs>
          <w:tab w:val="clear" w:pos="708"/>
          <w:tab w:val="left" w:pos="582" w:leader="none"/>
        </w:tabs>
        <w:spacing w:lineRule="auto" w:line="276" w:before="0" w:after="180"/>
        <w:ind w:start="20" w:end="2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autoSpaceDE w:val="false"/>
        <w:jc w:val="both"/>
        <w:rPr>
          <w:bCs/>
          <w:kern w:val="2"/>
          <w:sz w:val="25"/>
          <w:szCs w:val="25"/>
        </w:rPr>
      </w:pPr>
      <w:r>
        <w:rPr>
          <w:rStyle w:val="Style15"/>
          <w:sz w:val="26"/>
          <w:szCs w:val="26"/>
        </w:rPr>
        <w:t>Приложение к настоящему протоколу –</w:t>
      </w:r>
      <w:r>
        <w:rPr>
          <w:rStyle w:val="Style15"/>
          <w:b w:val="false"/>
          <w:sz w:val="26"/>
          <w:szCs w:val="26"/>
        </w:rPr>
        <w:t xml:space="preserve"> </w:t>
      </w:r>
      <w:r>
        <w:rPr>
          <w:sz w:val="26"/>
          <w:szCs w:val="26"/>
        </w:rPr>
        <w:t xml:space="preserve">договор на </w:t>
      </w:r>
      <w:r>
        <w:rPr>
          <w:bCs/>
          <w:kern w:val="2"/>
          <w:sz w:val="25"/>
          <w:szCs w:val="25"/>
        </w:rPr>
        <w:t xml:space="preserve"> поставку </w:t>
      </w:r>
      <w:r>
        <w:rPr>
          <w:bCs/>
          <w:color w:val="000000"/>
          <w:sz w:val="25"/>
          <w:szCs w:val="25"/>
          <w:lang w:eastAsia="en-US"/>
        </w:rPr>
        <w:t xml:space="preserve">технологического    оборудования бассейна </w:t>
      </w:r>
      <w:r>
        <w:rPr>
          <w:sz w:val="26"/>
          <w:szCs w:val="26"/>
        </w:rPr>
        <w:t>с</w:t>
      </w:r>
      <w:r>
        <w:rPr>
          <w:b/>
          <w:sz w:val="26"/>
          <w:szCs w:val="26"/>
          <w:lang w:bidi="ru-RU"/>
        </w:rPr>
        <w:t xml:space="preserve">  ИП </w:t>
      </w:r>
      <w:r>
        <w:rPr>
          <w:b/>
          <w:bCs/>
          <w:color w:val="000000"/>
          <w:sz w:val="25"/>
          <w:szCs w:val="25"/>
        </w:rPr>
        <w:t>Видиной Людмилой Георгиевной</w:t>
      </w:r>
    </w:p>
    <w:p>
      <w:pPr>
        <w:pStyle w:val="Normal"/>
        <w:ind w:end="-390"/>
        <w:rPr>
          <w:b/>
          <w:bCs/>
          <w:kern w:val="2"/>
          <w:sz w:val="26"/>
          <w:szCs w:val="26"/>
        </w:rPr>
      </w:pPr>
      <w:r>
        <w:rPr>
          <w:b/>
          <w:bCs/>
          <w:kern w:val="2"/>
          <w:sz w:val="26"/>
          <w:szCs w:val="26"/>
        </w:rPr>
      </w:r>
    </w:p>
    <w:p>
      <w:pPr>
        <w:pStyle w:val="ConsPlusNormal"/>
        <w:ind w:hanging="0" w:end="0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 xml:space="preserve">Юридический адрес: </w:t>
        <w:tab/>
        <w:t>628406, Российская Федерация, ХМАО-Югра, г. Сургут, ул. Университетская, 17 кв.538</w:t>
      </w:r>
    </w:p>
    <w:p>
      <w:pPr>
        <w:pStyle w:val="ConsPlusNormal"/>
        <w:ind w:hanging="0" w:end="0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 xml:space="preserve">Фактический адрес: </w:t>
        <w:tab/>
        <w:t xml:space="preserve">628401, Российская Федерация, ХМАО-Югра, г. Сургут, ул. Базовая, 15 к2 </w:t>
      </w:r>
    </w:p>
    <w:p>
      <w:pPr>
        <w:pStyle w:val="Heading1"/>
        <w:numPr>
          <w:ilvl w:val="0"/>
          <w:numId w:val="0"/>
        </w:numPr>
        <w:tabs>
          <w:tab w:val="left" w:pos="708" w:leader="none"/>
        </w:tabs>
        <w:spacing w:before="0" w:after="0"/>
        <w:ind w:hanging="0" w:start="0"/>
        <w:jc w:val="both"/>
        <w:rPr>
          <w:rFonts w:ascii="Times New Roman" w:hAnsi="Times New Roman" w:cs="Times New Roman"/>
          <w:b w:val="false"/>
          <w:sz w:val="26"/>
          <w:szCs w:val="26"/>
        </w:rPr>
      </w:pPr>
      <w:r>
        <w:rPr>
          <w:rFonts w:cs="Times New Roman" w:ascii="Times New Roman" w:hAnsi="Times New Roman"/>
          <w:b w:val="false"/>
          <w:sz w:val="26"/>
          <w:szCs w:val="26"/>
        </w:rPr>
      </w:r>
    </w:p>
    <w:p>
      <w:pPr>
        <w:pStyle w:val="Heading1"/>
        <w:numPr>
          <w:ilvl w:val="0"/>
          <w:numId w:val="0"/>
        </w:numPr>
        <w:tabs>
          <w:tab w:val="left" w:pos="708" w:leader="none"/>
        </w:tabs>
        <w:spacing w:before="0" w:after="0"/>
        <w:ind w:hanging="0" w:start="0"/>
        <w:jc w:val="both"/>
        <w:rPr>
          <w:rFonts w:ascii="Times New Roman" w:hAnsi="Times New Roman" w:cs="Times New Roman"/>
          <w:b w:val="false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>Цена договора:</w:t>
      </w:r>
      <w:r>
        <w:rPr>
          <w:rFonts w:cs="Times New Roman" w:ascii="Times New Roman" w:hAnsi="Times New Roman"/>
          <w:b w:val="false"/>
          <w:sz w:val="25"/>
          <w:szCs w:val="25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5"/>
          <w:szCs w:val="25"/>
        </w:rPr>
        <w:t xml:space="preserve"> </w:t>
      </w:r>
      <w:r>
        <w:rPr>
          <w:rFonts w:cs="Times New Roman" w:ascii="Times New Roman" w:hAnsi="Times New Roman"/>
          <w:b w:val="false"/>
          <w:sz w:val="25"/>
          <w:szCs w:val="25"/>
        </w:rPr>
        <w:t>191970,00 (Сто девяносто одна тысяча девятьсот семьдесят) рублей 00 копеек. НДС не облагается</w:t>
      </w:r>
    </w:p>
    <w:p>
      <w:pPr>
        <w:pStyle w:val="23"/>
        <w:shd w:fill="auto" w:val="clear"/>
        <w:tabs>
          <w:tab w:val="clear" w:pos="708"/>
          <w:tab w:val="left" w:pos="591" w:leader="none"/>
          <w:tab w:val="left" w:pos="4556" w:leader="underscore"/>
        </w:tabs>
        <w:spacing w:lineRule="auto" w:line="276" w:before="0" w:after="0"/>
        <w:ind w:start="20" w:end="20"/>
        <w:jc w:val="both"/>
        <w:rPr>
          <w:rFonts w:ascii="Times New Roman" w:hAnsi="Times New Roman" w:cs="Times New Roman"/>
          <w:b/>
          <w:sz w:val="28"/>
          <w:szCs w:val="25"/>
        </w:rPr>
      </w:pPr>
      <w:r>
        <w:rPr>
          <w:rFonts w:cs="Times New Roman"/>
          <w:b/>
          <w:sz w:val="28"/>
          <w:szCs w:val="25"/>
        </w:rPr>
      </w:r>
    </w:p>
    <w:p>
      <w:pPr>
        <w:pStyle w:val="23"/>
        <w:shd w:fill="auto" w:val="clear"/>
        <w:tabs>
          <w:tab w:val="clear" w:pos="708"/>
          <w:tab w:val="left" w:pos="591" w:leader="none"/>
          <w:tab w:val="left" w:pos="4556" w:leader="underscore"/>
        </w:tabs>
        <w:spacing w:lineRule="auto" w:line="276" w:before="0" w:after="0"/>
        <w:ind w:start="20" w:end="20"/>
        <w:jc w:val="both"/>
        <w:rPr>
          <w:sz w:val="28"/>
        </w:rPr>
      </w:pPr>
      <w:r>
        <w:rPr>
          <w:sz w:val="28"/>
        </w:rPr>
      </w:r>
    </w:p>
    <w:p>
      <w:pPr>
        <w:pStyle w:val="23"/>
        <w:shd w:fill="auto" w:val="clear"/>
        <w:tabs>
          <w:tab w:val="clear" w:pos="708"/>
          <w:tab w:val="left" w:pos="591" w:leader="none"/>
          <w:tab w:val="left" w:pos="4556" w:leader="underscore"/>
        </w:tabs>
        <w:spacing w:lineRule="auto" w:line="276" w:before="0" w:after="0"/>
        <w:ind w:start="20" w:end="20"/>
        <w:jc w:val="both"/>
        <w:rPr>
          <w:sz w:val="28"/>
        </w:rPr>
      </w:pPr>
      <w:r>
        <w:rPr>
          <w:sz w:val="28"/>
        </w:rPr>
      </w:r>
    </w:p>
    <w:p>
      <w:pPr>
        <w:pStyle w:val="23"/>
        <w:shd w:fill="auto" w:val="clear"/>
        <w:tabs>
          <w:tab w:val="clear" w:pos="708"/>
          <w:tab w:val="left" w:pos="591" w:leader="none"/>
          <w:tab w:val="left" w:pos="4556" w:leader="underscore"/>
        </w:tabs>
        <w:spacing w:lineRule="auto" w:line="276" w:before="0" w:after="0"/>
        <w:ind w:start="20" w:end="20"/>
        <w:jc w:val="both"/>
        <w:rPr>
          <w:sz w:val="28"/>
        </w:rPr>
      </w:pPr>
      <w:r>
        <w:rPr>
          <w:sz w:val="28"/>
        </w:rPr>
        <w:t>Председатель комиссии          ________________________ Р.И. Валеев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Заместитель председатель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комиссии</w:t>
        <w:tab/>
        <w:tab/>
        <w:tab/>
        <w:tab/>
        <w:t>________________________ О.А. Лисакова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Секретарь комиссии</w:t>
        <w:tab/>
        <w:tab/>
        <w:t xml:space="preserve">________________________ </w:t>
      </w:r>
      <w:r>
        <w:rPr>
          <w:sz w:val="25"/>
          <w:szCs w:val="25"/>
        </w:rPr>
        <w:t xml:space="preserve">А.Е. Пиникер 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Члены комиссии</w:t>
        <w:tab/>
        <w:tab/>
        <w:tab/>
        <w:t xml:space="preserve">________________________ </w:t>
      </w:r>
      <w:r>
        <w:rPr>
          <w:bCs/>
          <w:sz w:val="28"/>
          <w:szCs w:val="28"/>
        </w:rPr>
        <w:t xml:space="preserve">А.Г. Зинченко 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ab/>
        <w:tab/>
        <w:tab/>
        <w:tab/>
        <w:t>________________________ Е.П. Федотова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                                        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ab/>
        <w:tab/>
        <w:tab/>
        <w:tab/>
        <w:t>_________________________Р.С. Шарапов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23"/>
        <w:shd w:fill="auto" w:val="clear"/>
        <w:tabs>
          <w:tab w:val="clear" w:pos="708"/>
          <w:tab w:val="left" w:pos="591" w:leader="none"/>
          <w:tab w:val="left" w:pos="4556" w:leader="underscore"/>
        </w:tabs>
        <w:spacing w:lineRule="auto" w:line="276" w:before="0" w:after="0"/>
        <w:ind w:start="20" w:end="20"/>
        <w:jc w:val="both"/>
        <w:rPr/>
      </w:pPr>
      <w:r>
        <w:rPr/>
        <w:t xml:space="preserve">                                                              </w:t>
      </w:r>
      <w:r>
        <w:rPr/>
        <w:t xml:space="preserve">____________________________ </w:t>
      </w:r>
      <w:r>
        <w:rPr>
          <w:sz w:val="28"/>
          <w:szCs w:val="28"/>
        </w:rPr>
        <w:t>А.А. Абрамян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748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432"/>
        </w:tabs>
        <w:ind w:start="432" w:hanging="432"/>
      </w:pPr>
      <w:rPr>
        <w:sz w:val="28"/>
        <w:i w:val="false"/>
        <w:b/>
        <w:szCs w:val="28"/>
        <w:rFonts w:ascii="Times New Roman" w:hAnsi="Times New Roman" w:cs="Times New Roman"/>
      </w:r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>
        <w:sz w:val="28"/>
        <w:i w:val="false"/>
        <w:b w:val="false"/>
        <w:szCs w:val="26"/>
        <w:rFonts w:ascii="Times New Roman" w:hAnsi="Times New Roman"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10725"/>
        </w:tabs>
        <w:ind w:start="10725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/>
        <w:szCs w:val="20"/>
        <w:iCs w:val="false"/>
        <w:bCs/>
        <w:w w:val="100"/>
        <w:rFonts w:ascii="Times New Roman" w:hAnsi="Times New Roman" w:eastAsia="Times New Roman" w:cs="Times New Roman"/>
        <w:color w:val="000000"/>
        <w:lang w:val="ru-RU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/>
        <w:szCs w:val="20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1">
    <w:name w:val="WW8Num3z1"/>
    <w:qFormat/>
    <w:rPr>
      <w:rFonts w:ascii="Courier New" w:hAnsi="Courier New" w:cs="Times New Roman"/>
    </w:rPr>
  </w:style>
  <w:style w:type="character" w:styleId="WW8Num4z0">
    <w:name w:val="WW8Num4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WW8Num4z1">
    <w:name w:val="WW8Num4z1"/>
    <w:qFormat/>
    <w:rPr>
      <w:rFonts w:ascii="Times New Roman" w:hAnsi="Times New Roman" w:eastAsia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WW8Num5z0">
    <w:name w:val="WW8Num5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5z1">
    <w:name w:val="WW8Num5z1"/>
    <w:qFormat/>
    <w:rPr>
      <w:rFonts w:ascii="Times New Roman" w:hAnsi="Times New Roman" w:cs="Times New Roman"/>
      <w:b w:val="false"/>
      <w:i w:val="false"/>
      <w:sz w:val="28"/>
      <w:szCs w:val="26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St6z0">
    <w:name w:val="WW8NumSt6z0"/>
    <w:qFormat/>
    <w:rPr>
      <w:rFonts w:ascii="Wingdings" w:hAnsi="Wingdings" w:cs="Wingdings"/>
      <w:b w:val="false"/>
      <w:i w:val="false"/>
      <w:sz w:val="20"/>
      <w:u w:val="none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Style13"/>
    <w:rPr/>
  </w:style>
  <w:style w:type="character" w:styleId="2">
    <w:name w:val="Основной текст (2)_"/>
    <w:qFormat/>
    <w:rPr>
      <w:b/>
      <w:bCs/>
      <w:sz w:val="23"/>
      <w:szCs w:val="23"/>
      <w:shd w:fill="FFFFFF" w:val="clear"/>
    </w:rPr>
  </w:style>
  <w:style w:type="character" w:styleId="Style14">
    <w:name w:val="Основной текст_"/>
    <w:qFormat/>
    <w:rPr>
      <w:sz w:val="23"/>
      <w:szCs w:val="23"/>
      <w:shd w:fill="FFFFFF" w:val="clear"/>
    </w:rPr>
  </w:style>
  <w:style w:type="character" w:styleId="Style15">
    <w:name w:val="Основной текст + Полужирный"/>
    <w:qFormat/>
    <w:rPr>
      <w:b/>
      <w:bCs/>
      <w:color w:val="000000"/>
      <w:spacing w:val="0"/>
      <w:w w:val="100"/>
      <w:position w:val="0"/>
      <w:sz w:val="23"/>
      <w:sz w:val="23"/>
      <w:szCs w:val="23"/>
      <w:shd w:fill="FFFFFF" w:val="clear"/>
      <w:vertAlign w:val="baseline"/>
      <w:lang w:val="ru-RU"/>
    </w:rPr>
  </w:style>
  <w:style w:type="character" w:styleId="3">
    <w:name w:val="Основной текст с отступом 3 Знак"/>
    <w:qFormat/>
    <w:rPr>
      <w:sz w:val="16"/>
      <w:szCs w:val="16"/>
    </w:rPr>
  </w:style>
  <w:style w:type="character" w:styleId="ConsNormal">
    <w:name w:val="ConsNormal Знак"/>
    <w:qFormat/>
    <w:rPr>
      <w:rFonts w:ascii="Arial" w:hAnsi="Arial" w:cs="Arial"/>
      <w:sz w:val="22"/>
      <w:szCs w:val="22"/>
      <w:lang w:bidi="ar-SA"/>
    </w:rPr>
  </w:style>
  <w:style w:type="character" w:styleId="Style16">
    <w:name w:val="Текст Знак"/>
    <w:qFormat/>
    <w:rPr>
      <w:rFonts w:ascii="Courier New" w:hAnsi="Courier New" w:cs="Courier New"/>
      <w:szCs w:val="24"/>
    </w:rPr>
  </w:style>
  <w:style w:type="character" w:styleId="Style17">
    <w:name w:val="Основной текст Знак"/>
    <w:qFormat/>
    <w:rPr>
      <w:sz w:val="24"/>
      <w:szCs w:val="24"/>
    </w:rPr>
  </w:style>
  <w:style w:type="character" w:styleId="1">
    <w:name w:val="Заголовок 1 Знак"/>
    <w:qFormat/>
    <w:rPr>
      <w:rFonts w:ascii="Arial" w:hAnsi="Arial" w:cs="Arial"/>
      <w:b/>
      <w:bCs/>
      <w:kern w:val="2"/>
      <w:sz w:val="32"/>
      <w:szCs w:val="32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2">
    <w:name w:val="Основной текст с отступом 2"/>
    <w:basedOn w:val="Normal"/>
    <w:qFormat/>
    <w:pPr>
      <w:ind w:firstLine="540" w:start="0" w:end="0"/>
      <w:jc w:val="both"/>
    </w:pPr>
    <w:rPr/>
  </w:style>
  <w:style w:type="paragraph" w:styleId="31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Style18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3">
    <w:name w:val="Основной текст2"/>
    <w:basedOn w:val="Normal"/>
    <w:qFormat/>
    <w:pPr>
      <w:widowControl w:val="false"/>
      <w:shd w:fill="FFFFFF" w:val="clear"/>
      <w:spacing w:lineRule="atLeast" w:line="0" w:before="0" w:after="660"/>
    </w:pPr>
    <w:rPr>
      <w:sz w:val="23"/>
      <w:szCs w:val="23"/>
    </w:rPr>
  </w:style>
  <w:style w:type="paragraph" w:styleId="24">
    <w:name w:val="Основной текст (2)"/>
    <w:basedOn w:val="Normal"/>
    <w:qFormat/>
    <w:pPr>
      <w:widowControl w:val="false"/>
      <w:shd w:fill="FFFFFF" w:val="clear"/>
      <w:spacing w:lineRule="atLeast" w:line="0"/>
      <w:jc w:val="center"/>
    </w:pPr>
    <w:rPr>
      <w:b/>
      <w:bCs/>
      <w:sz w:val="23"/>
      <w:szCs w:val="23"/>
    </w:rPr>
  </w:style>
  <w:style w:type="paragraph" w:styleId="11">
    <w:name w:val="Основной текст1"/>
    <w:basedOn w:val="Normal"/>
    <w:qFormat/>
    <w:pPr>
      <w:shd w:fill="FFFFFF" w:val="clear"/>
      <w:spacing w:lineRule="atLeast" w:line="0"/>
      <w:ind w:hanging="300" w:start="0" w:end="0"/>
    </w:pPr>
    <w:rPr>
      <w:color w:val="000000"/>
      <w:sz w:val="22"/>
      <w:szCs w:val="22"/>
      <w:lang w:val="en-US"/>
    </w:rPr>
  </w:style>
  <w:style w:type="paragraph" w:styleId="Style20">
    <w:name w:val="Абзац списка"/>
    <w:basedOn w:val="Normal"/>
    <w:qFormat/>
    <w:pPr>
      <w:spacing w:before="0" w:after="0"/>
      <w:ind w:hanging="0" w:start="720" w:end="0"/>
      <w:contextualSpacing/>
    </w:pPr>
    <w:rPr>
      <w:sz w:val="20"/>
      <w:szCs w:val="20"/>
    </w:rPr>
  </w:style>
  <w:style w:type="paragraph" w:styleId="ConsNormal1">
    <w:name w:val="ConsNormal"/>
    <w:qFormat/>
    <w:pPr>
      <w:widowControl w:val="false"/>
      <w:bidi w:val="0"/>
      <w:ind w:firstLine="720" w:start="0" w:end="19772"/>
    </w:pPr>
    <w:rPr>
      <w:rFonts w:ascii="Arial" w:hAnsi="Arial" w:eastAsia="Times New Roman" w:cs="Arial"/>
      <w:color w:val="auto"/>
      <w:sz w:val="22"/>
      <w:szCs w:val="22"/>
      <w:lang w:val="ru-RU" w:bidi="ar-SA" w:eastAsia="zh-CN"/>
    </w:rPr>
  </w:style>
  <w:style w:type="paragraph" w:styleId="Style21">
    <w:name w:val="Текст"/>
    <w:basedOn w:val="Normal"/>
    <w:qFormat/>
    <w:pPr/>
    <w:rPr>
      <w:rFonts w:ascii="Courier New" w:hAnsi="Courier New" w:cs="Courier New"/>
      <w:sz w:val="20"/>
    </w:rPr>
  </w:style>
  <w:style w:type="paragraph" w:styleId="ConsPlusCell">
    <w:name w:val="ConsPlusCell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auto"/>
      <w:sz w:val="24"/>
      <w:szCs w:val="24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2025-12-15T05:19:00Z</dcterms:created>
  <dc:creator>3</dc:creator>
  <dc:description/>
  <cp:keywords/>
  <dc:language>en-US</dc:language>
  <cp:lastModifiedBy>user</cp:lastModifiedBy>
  <cp:lastPrinted>2025-12-15T11:27:00Z</cp:lastPrinted>
  <dcterms:modified xsi:type="dcterms:W3CDTF">2025-12-15T06:27:00Z</dcterms:modified>
  <cp:revision>3</cp:revision>
  <dc:subject/>
  <dc:title>УТВЕРЖДАЮ</dc:title>
</cp:coreProperties>
</file>