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before="360" w:after="0"/>
        <w:jc w:val="center"/>
        <w:rPr>
          <w:sz w:val="20"/>
          <w:szCs w:val="20"/>
        </w:rPr>
      </w:pPr>
      <w:r>
        <w:rPr>
          <w:b/>
          <w:sz w:val="20"/>
          <w:szCs w:val="20"/>
        </w:rPr>
        <w:t>ПРОТОКОЛ</w:t>
      </w:r>
    </w:p>
    <w:p>
      <w:pPr>
        <w:pStyle w:val="Normal"/>
        <w:widowControl w:val="false"/>
        <w:jc w:val="center"/>
        <w:rPr>
          <w:i/>
          <w:i/>
          <w:sz w:val="20"/>
          <w:szCs w:val="20"/>
        </w:rPr>
      </w:pPr>
      <w:r>
        <w:rPr>
          <w:sz w:val="20"/>
          <w:szCs w:val="20"/>
        </w:rPr>
        <w:t xml:space="preserve">заседания Комиссии по маркетинговым исследованиям АО «Теплосеть Санкт-Петербурга» по рассмотрению заявок и подведению итогов открытых маркетинговых исследований в электронной форме, </w:t>
      </w:r>
      <w:r>
        <w:rPr>
          <w:color w:val="000000"/>
          <w:sz w:val="20"/>
          <w:szCs w:val="20"/>
        </w:rPr>
        <w:t>участниками которых могут быть только субъекты малого и среднего предпринимательства</w:t>
      </w:r>
      <w:r>
        <w:rPr>
          <w:sz w:val="20"/>
          <w:szCs w:val="20"/>
        </w:rPr>
        <w:t xml:space="preserve">  </w:t>
      </w:r>
    </w:p>
    <w:p>
      <w:pPr>
        <w:pStyle w:val="Normal"/>
        <w:widowControl w:val="false"/>
        <w:jc w:val="center"/>
        <w:rPr>
          <w:b/>
          <w:sz w:val="20"/>
          <w:szCs w:val="20"/>
        </w:rPr>
      </w:pPr>
      <w:r>
        <w:rPr>
          <w:b/>
          <w:sz w:val="20"/>
          <w:szCs w:val="20"/>
        </w:rPr>
        <w:t>Санкт-Петербург</w:t>
      </w:r>
    </w:p>
    <w:tbl>
      <w:tblPr>
        <w:tblW w:w="9889" w:type="dxa"/>
        <w:jc w:val="start"/>
        <w:tblInd w:w="0" w:type="dxa"/>
        <w:tblLayout w:type="fixed"/>
        <w:tblCellMar>
          <w:top w:w="0" w:type="dxa"/>
          <w:start w:w="108" w:type="dxa"/>
          <w:bottom w:w="0" w:type="dxa"/>
          <w:end w:w="108" w:type="dxa"/>
        </w:tblCellMar>
      </w:tblPr>
      <w:tblGrid>
        <w:gridCol w:w="4786"/>
        <w:gridCol w:w="5103"/>
      </w:tblGrid>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pPr>
            <w:r>
              <w:rPr>
                <w:sz w:val="20"/>
                <w:szCs w:val="20"/>
              </w:rPr>
              <w:t>Номер протокола: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w:t>
            </w:r>
            <w:r>
              <w:rPr/>
              <w:t xml:space="preserve"> </w:t>
            </w:r>
            <w:r>
              <w:rPr>
                <w:sz w:val="20"/>
                <w:szCs w:val="20"/>
              </w:rPr>
              <w:t>32515444889_1</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Дата/время проведения заседания:</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«12» декабря 2025 года 17:00 (</w:t>
            </w:r>
            <w:r>
              <w:rPr>
                <w:i/>
                <w:sz w:val="20"/>
                <w:szCs w:val="20"/>
              </w:rPr>
              <w:t>по московскому времени)</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Дата подписания протокола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«12» декабря 2025 года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Начальная (максимальная) цена с НДС, руб.:</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21 998 673,20</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Место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Срок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Объем поставки товара: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Срок исполнения договора:</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в соответствии с проектом договора</w:t>
            </w:r>
          </w:p>
        </w:tc>
      </w:tr>
      <w:tr>
        <w:trPr/>
        <w:tc>
          <w:tcPr>
            <w:tcW w:w="4786"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Участниками могут быть только субъекты МСП</w:t>
            </w:r>
          </w:p>
        </w:tc>
        <w:tc>
          <w:tcPr>
            <w:tcW w:w="5103" w:type="dxa"/>
            <w:tcBorders>
              <w:top w:val="single" w:sz="4" w:space="0" w:color="A6A6A6"/>
              <w:start w:val="single" w:sz="4" w:space="0" w:color="A6A6A6"/>
              <w:bottom w:val="single" w:sz="4" w:space="0" w:color="A6A6A6"/>
              <w:end w:val="single" w:sz="4" w:space="0" w:color="A6A6A6"/>
            </w:tcBorders>
            <w:vAlign w:val="bottom"/>
          </w:tcPr>
          <w:p>
            <w:pPr>
              <w:pStyle w:val="Normal"/>
              <w:widowControl w:val="false"/>
              <w:spacing w:before="120" w:after="0"/>
              <w:rPr>
                <w:sz w:val="20"/>
                <w:szCs w:val="20"/>
              </w:rPr>
            </w:pPr>
            <w:r>
              <w:rPr>
                <w:sz w:val="20"/>
                <w:szCs w:val="20"/>
              </w:rPr>
              <w:t>Да</w:t>
            </w:r>
          </w:p>
        </w:tc>
      </w:tr>
    </w:tbl>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ПРЕДМЕТ ЗАКУПКИ:</w:t>
      </w:r>
    </w:p>
    <w:p>
      <w:pPr>
        <w:pStyle w:val="Normal"/>
        <w:widowControl w:val="false"/>
        <w:jc w:val="both"/>
        <w:rPr>
          <w:sz w:val="20"/>
          <w:szCs w:val="20"/>
        </w:rPr>
      </w:pPr>
      <w:r>
        <w:rPr>
          <w:sz w:val="20"/>
          <w:szCs w:val="20"/>
        </w:rPr>
        <w:t>Лот 1: Поставка щебня гранитного фр. 20-40 (4444/2.1.1-227)</w:t>
      </w:r>
    </w:p>
    <w:p>
      <w:pPr>
        <w:pStyle w:val="Normal"/>
        <w:widowControl w:val="false"/>
        <w:jc w:val="both"/>
        <w:rPr>
          <w:b/>
          <w:sz w:val="20"/>
          <w:szCs w:val="20"/>
        </w:rPr>
      </w:pPr>
      <w:r>
        <w:rPr>
          <w:b/>
          <w:sz w:val="20"/>
          <w:szCs w:val="20"/>
        </w:rPr>
      </w:r>
    </w:p>
    <w:p>
      <w:pPr>
        <w:pStyle w:val="Normal"/>
        <w:widowControl w:val="false"/>
        <w:spacing w:before="120" w:after="120"/>
        <w:rPr>
          <w:b/>
          <w:sz w:val="20"/>
          <w:szCs w:val="20"/>
        </w:rPr>
      </w:pPr>
      <w:r>
        <w:rPr>
          <w:b/>
          <w:sz w:val="20"/>
          <w:szCs w:val="20"/>
        </w:rPr>
        <w:t>ПОВЕСТКА:</w:t>
      </w:r>
    </w:p>
    <w:p>
      <w:pPr>
        <w:pStyle w:val="Normal"/>
        <w:widowControl w:val="false"/>
        <w:jc w:val="both"/>
        <w:rPr/>
      </w:pPr>
      <w:r>
        <w:rPr>
          <w:sz w:val="20"/>
          <w:szCs w:val="20"/>
        </w:rPr>
        <w:t>Рассмотрение заявок и подведение итогов открытых маркетинговых исследований в электронной форме, участниками которых могут быть только субъекты малого и среднего предпринимательства, на право заключения договора на поставку щебня гранитного фр. 20-40 (4444/2.1.1-227).</w:t>
      </w:r>
    </w:p>
    <w:p>
      <w:pPr>
        <w:pStyle w:val="Normal"/>
        <w:widowControl w:val="false"/>
        <w:numPr>
          <w:ilvl w:val="0"/>
          <w:numId w:val="3"/>
        </w:numPr>
        <w:spacing w:before="120" w:after="120"/>
        <w:ind w:hanging="284" w:start="284" w:end="0"/>
        <w:contextualSpacing/>
        <w:jc w:val="both"/>
        <w:rPr>
          <w:sz w:val="20"/>
          <w:szCs w:val="20"/>
        </w:rPr>
      </w:pPr>
      <w:r>
        <w:rPr>
          <w:sz w:val="20"/>
          <w:szCs w:val="20"/>
        </w:rPr>
        <w:t>Об одобрении Сводного заключения Экспертного совета по рассмотрению заявок и подведению итогов открытых маркетинговых исследований.</w:t>
      </w:r>
    </w:p>
    <w:p>
      <w:pPr>
        <w:pStyle w:val="Normal"/>
        <w:widowControl w:val="false"/>
        <w:numPr>
          <w:ilvl w:val="0"/>
          <w:numId w:val="3"/>
        </w:numPr>
        <w:spacing w:before="120" w:after="120"/>
        <w:ind w:hanging="284" w:start="284" w:end="0"/>
        <w:contextualSpacing/>
        <w:jc w:val="both"/>
        <w:rPr>
          <w:sz w:val="20"/>
          <w:szCs w:val="20"/>
        </w:rPr>
      </w:pPr>
      <w:r>
        <w:rPr>
          <w:sz w:val="20"/>
          <w:szCs w:val="20"/>
        </w:rPr>
        <w:t>О признании заявок соответствующими условиям закупки.</w:t>
      </w:r>
    </w:p>
    <w:p>
      <w:pPr>
        <w:pStyle w:val="Normal"/>
        <w:widowControl w:val="false"/>
        <w:numPr>
          <w:ilvl w:val="0"/>
          <w:numId w:val="3"/>
        </w:numPr>
        <w:spacing w:before="120" w:after="120"/>
        <w:ind w:hanging="284" w:start="284" w:end="0"/>
        <w:contextualSpacing/>
        <w:jc w:val="both"/>
        <w:rPr>
          <w:sz w:val="20"/>
          <w:szCs w:val="20"/>
        </w:rPr>
      </w:pPr>
      <w:r>
        <w:rPr>
          <w:sz w:val="20"/>
          <w:szCs w:val="20"/>
        </w:rPr>
        <w:t>Об отклонении заявок участников.</w:t>
      </w:r>
    </w:p>
    <w:p>
      <w:pPr>
        <w:pStyle w:val="Normal"/>
        <w:widowControl w:val="false"/>
        <w:numPr>
          <w:ilvl w:val="0"/>
          <w:numId w:val="3"/>
        </w:numPr>
        <w:spacing w:before="120" w:after="120"/>
        <w:ind w:hanging="284" w:start="284" w:end="0"/>
        <w:contextualSpacing/>
        <w:jc w:val="both"/>
        <w:rPr>
          <w:sz w:val="20"/>
          <w:szCs w:val="20"/>
        </w:rPr>
      </w:pPr>
      <w:r>
        <w:rPr>
          <w:sz w:val="20"/>
          <w:szCs w:val="20"/>
        </w:rPr>
        <w:t>Об определении победителя.</w:t>
      </w:r>
    </w:p>
    <w:p>
      <w:pPr>
        <w:pStyle w:val="Normal"/>
        <w:widowControl w:val="false"/>
        <w:numPr>
          <w:ilvl w:val="0"/>
          <w:numId w:val="3"/>
        </w:numPr>
        <w:spacing w:before="120" w:after="120"/>
        <w:ind w:hanging="284" w:start="284" w:end="0"/>
        <w:contextualSpacing/>
        <w:jc w:val="both"/>
        <w:rPr>
          <w:sz w:val="20"/>
          <w:szCs w:val="20"/>
        </w:rPr>
      </w:pPr>
      <w:r>
        <w:rPr>
          <w:sz w:val="20"/>
          <w:szCs w:val="20"/>
        </w:rPr>
        <w:t>О возможности проведения преддоговорных переговоров.</w:t>
      </w:r>
    </w:p>
    <w:p>
      <w:pPr>
        <w:pStyle w:val="Normal"/>
        <w:widowControl w:val="false"/>
        <w:spacing w:lineRule="auto" w:line="288" w:before="120" w:after="120"/>
        <w:contextualSpacing/>
        <w:jc w:val="both"/>
        <w:rPr>
          <w:b/>
          <w:sz w:val="20"/>
          <w:szCs w:val="20"/>
        </w:rPr>
      </w:pPr>
      <w:r>
        <w:rPr>
          <w:b/>
          <w:sz w:val="20"/>
          <w:szCs w:val="20"/>
        </w:rPr>
      </w:r>
    </w:p>
    <w:p>
      <w:pPr>
        <w:pStyle w:val="Normal"/>
        <w:widowControl w:val="false"/>
        <w:spacing w:before="120" w:after="120"/>
        <w:jc w:val="both"/>
        <w:rPr>
          <w:b/>
          <w:sz w:val="20"/>
          <w:szCs w:val="20"/>
        </w:rPr>
      </w:pPr>
      <w:r>
        <w:rPr>
          <w:b/>
          <w:sz w:val="20"/>
          <w:szCs w:val="20"/>
        </w:rPr>
        <w:t>КОМИССИЯ ПО МАРКЕТИНГОВЫМ ИССЛЕДОВАНИЯМ АО «ТЕПЛОСЕТЬ САНКТ-ПЕТЕРБУРГА»:</w:t>
      </w:r>
    </w:p>
    <w:p>
      <w:pPr>
        <w:pStyle w:val="Normal"/>
        <w:widowControl w:val="false"/>
        <w:spacing w:lineRule="auto" w:line="288" w:before="120" w:after="120"/>
        <w:ind w:end="-285"/>
        <w:contextualSpacing/>
        <w:rPr>
          <w:sz w:val="20"/>
          <w:szCs w:val="20"/>
          <w:u w:val="single"/>
        </w:rPr>
      </w:pPr>
      <w:r>
        <w:rPr>
          <w:sz w:val="20"/>
          <w:szCs w:val="20"/>
          <w:u w:val="single"/>
        </w:rPr>
        <w:t>Заместитель председателя Комиссии по маркетинговым исследованиям АО «Теплосеть Санкт-Петербурга»:</w:t>
      </w:r>
    </w:p>
    <w:p>
      <w:pPr>
        <w:pStyle w:val="Normal"/>
        <w:widowControl w:val="false"/>
        <w:spacing w:lineRule="auto" w:line="288" w:before="120" w:after="120"/>
        <w:contextualSpacing/>
        <w:rPr>
          <w:sz w:val="20"/>
          <w:szCs w:val="20"/>
        </w:rPr>
      </w:pPr>
      <w:r>
        <w:rPr>
          <w:sz w:val="20"/>
          <w:szCs w:val="20"/>
        </w:rPr>
        <w:t>Чистяков С.С.</w:t>
      </w:r>
    </w:p>
    <w:p>
      <w:pPr>
        <w:pStyle w:val="Normal"/>
        <w:widowControl w:val="false"/>
        <w:spacing w:lineRule="auto" w:line="288" w:before="120" w:after="120"/>
        <w:ind w:end="-285"/>
        <w:contextualSpacing/>
        <w:rPr>
          <w:sz w:val="20"/>
          <w:szCs w:val="20"/>
          <w:u w:val="single"/>
        </w:rPr>
      </w:pPr>
      <w:r>
        <w:rPr>
          <w:sz w:val="20"/>
          <w:szCs w:val="20"/>
          <w:u w:val="single"/>
        </w:rPr>
        <w:t>Члены Комиссии по маркетинговым исследованиям АО «Теплосеть Санкт-Петербурга»:</w:t>
      </w:r>
    </w:p>
    <w:p>
      <w:pPr>
        <w:pStyle w:val="Normal"/>
        <w:widowControl w:val="false"/>
        <w:spacing w:lineRule="auto" w:line="288" w:before="120" w:after="120"/>
        <w:contextualSpacing/>
        <w:jc w:val="both"/>
        <w:rPr>
          <w:sz w:val="20"/>
          <w:szCs w:val="20"/>
        </w:rPr>
      </w:pPr>
      <w:r>
        <w:rPr>
          <w:sz w:val="20"/>
          <w:szCs w:val="20"/>
        </w:rPr>
        <w:t>Буряк И.Н.</w:t>
      </w:r>
    </w:p>
    <w:p>
      <w:pPr>
        <w:pStyle w:val="Normal"/>
        <w:widowControl w:val="false"/>
        <w:spacing w:lineRule="auto" w:line="288" w:before="120" w:after="120"/>
        <w:contextualSpacing/>
        <w:jc w:val="both"/>
        <w:rPr>
          <w:sz w:val="20"/>
          <w:szCs w:val="20"/>
        </w:rPr>
      </w:pPr>
      <w:r>
        <w:rPr>
          <w:sz w:val="20"/>
          <w:szCs w:val="20"/>
        </w:rPr>
        <w:t>Кузнецов Д.Э.</w:t>
      </w:r>
    </w:p>
    <w:p>
      <w:pPr>
        <w:pStyle w:val="Normal"/>
        <w:widowControl w:val="false"/>
        <w:spacing w:lineRule="auto" w:line="288" w:before="120" w:after="120"/>
        <w:contextualSpacing/>
        <w:jc w:val="both"/>
        <w:rPr>
          <w:sz w:val="20"/>
          <w:szCs w:val="20"/>
        </w:rPr>
      </w:pPr>
      <w:r>
        <w:rPr>
          <w:sz w:val="20"/>
          <w:szCs w:val="20"/>
        </w:rPr>
        <w:t>Медведева Н.Л.</w:t>
      </w:r>
    </w:p>
    <w:p>
      <w:pPr>
        <w:pStyle w:val="Normal"/>
        <w:widowControl w:val="false"/>
        <w:spacing w:lineRule="auto" w:line="288" w:before="120" w:after="120"/>
        <w:contextualSpacing/>
        <w:jc w:val="both"/>
        <w:rPr>
          <w:sz w:val="20"/>
          <w:szCs w:val="20"/>
        </w:rPr>
      </w:pPr>
      <w:r>
        <w:rPr>
          <w:sz w:val="20"/>
          <w:szCs w:val="20"/>
        </w:rPr>
        <w:t>Пахунов Е.М.</w:t>
      </w:r>
    </w:p>
    <w:p>
      <w:pPr>
        <w:pStyle w:val="Normal"/>
        <w:widowControl w:val="false"/>
        <w:spacing w:lineRule="auto" w:line="288" w:before="120" w:after="120"/>
        <w:contextualSpacing/>
        <w:jc w:val="both"/>
        <w:rPr>
          <w:sz w:val="20"/>
          <w:szCs w:val="20"/>
        </w:rPr>
      </w:pPr>
      <w:r>
        <w:rPr>
          <w:sz w:val="20"/>
          <w:szCs w:val="20"/>
        </w:rPr>
        <w:t>Пуговкин В.М.</w:t>
      </w:r>
    </w:p>
    <w:p>
      <w:pPr>
        <w:pStyle w:val="Normal"/>
        <w:widowControl w:val="false"/>
        <w:spacing w:lineRule="auto" w:line="288" w:before="120" w:after="120"/>
        <w:contextualSpacing/>
        <w:jc w:val="both"/>
        <w:rPr>
          <w:sz w:val="20"/>
          <w:szCs w:val="20"/>
        </w:rPr>
      </w:pPr>
      <w:r>
        <w:rPr>
          <w:sz w:val="20"/>
          <w:szCs w:val="20"/>
        </w:rPr>
        <w:t>Северовостоков В.В.</w:t>
      </w:r>
    </w:p>
    <w:p>
      <w:pPr>
        <w:pStyle w:val="Normal"/>
        <w:widowControl w:val="false"/>
        <w:spacing w:lineRule="auto" w:line="288" w:before="120" w:after="120"/>
        <w:contextualSpacing/>
        <w:jc w:val="both"/>
        <w:rPr>
          <w:sz w:val="20"/>
          <w:szCs w:val="20"/>
        </w:rPr>
      </w:pPr>
      <w:r>
        <w:rPr>
          <w:sz w:val="20"/>
          <w:szCs w:val="20"/>
        </w:rPr>
        <w:t>Фомичев А.С.</w:t>
      </w:r>
    </w:p>
    <w:p>
      <w:pPr>
        <w:pStyle w:val="Normal"/>
        <w:widowControl w:val="false"/>
        <w:spacing w:before="120" w:after="120"/>
        <w:contextualSpacing/>
        <w:jc w:val="both"/>
        <w:rPr>
          <w:b/>
          <w:sz w:val="20"/>
          <w:szCs w:val="20"/>
        </w:rPr>
      </w:pPr>
      <w:r>
        <w:rPr>
          <w:b/>
          <w:sz w:val="20"/>
          <w:szCs w:val="20"/>
        </w:rPr>
      </w:r>
    </w:p>
    <w:p>
      <w:pPr>
        <w:pStyle w:val="Normal"/>
        <w:widowControl w:val="false"/>
        <w:spacing w:before="120" w:after="120"/>
        <w:contextualSpacing/>
        <w:jc w:val="both"/>
        <w:rPr>
          <w:b/>
          <w:sz w:val="20"/>
          <w:szCs w:val="20"/>
        </w:rPr>
      </w:pPr>
      <w:r>
        <w:rPr>
          <w:b/>
          <w:sz w:val="20"/>
          <w:szCs w:val="20"/>
        </w:rPr>
        <w:t>УЧАСТИЕ ПРИНИМАЛИ:</w:t>
      </w:r>
    </w:p>
    <w:p>
      <w:pPr>
        <w:pStyle w:val="Normal"/>
        <w:widowControl w:val="false"/>
        <w:spacing w:lineRule="auto" w:line="288" w:before="120" w:after="120"/>
        <w:ind w:end="-285"/>
        <w:contextualSpacing/>
        <w:rPr>
          <w:sz w:val="20"/>
          <w:szCs w:val="20"/>
          <w:u w:val="single"/>
        </w:rPr>
      </w:pPr>
      <w:r>
        <w:rPr>
          <w:sz w:val="20"/>
          <w:szCs w:val="20"/>
          <w:u w:val="single"/>
        </w:rPr>
        <w:t>Заместитель председателя Комиссии по маркетинговым исследованиям АО «Теплосеть Санкт-Петербурга»:</w:t>
      </w:r>
    </w:p>
    <w:p>
      <w:pPr>
        <w:pStyle w:val="Normal"/>
        <w:widowControl w:val="false"/>
        <w:spacing w:lineRule="auto" w:line="288" w:before="120" w:after="120"/>
        <w:contextualSpacing/>
        <w:rPr>
          <w:sz w:val="20"/>
          <w:szCs w:val="20"/>
        </w:rPr>
      </w:pPr>
      <w:r>
        <w:rPr>
          <w:sz w:val="20"/>
          <w:szCs w:val="20"/>
        </w:rPr>
        <w:t>Чистяков С.С.</w:t>
      </w:r>
    </w:p>
    <w:p>
      <w:pPr>
        <w:pStyle w:val="Normal"/>
        <w:widowControl w:val="false"/>
        <w:spacing w:lineRule="auto" w:line="288" w:before="120" w:after="120"/>
        <w:ind w:end="-285"/>
        <w:contextualSpacing/>
        <w:rPr>
          <w:sz w:val="20"/>
          <w:szCs w:val="20"/>
          <w:u w:val="single"/>
        </w:rPr>
      </w:pPr>
      <w:r>
        <w:rPr>
          <w:sz w:val="20"/>
          <w:szCs w:val="20"/>
          <w:u w:val="single"/>
        </w:rPr>
        <w:t>Члены Комиссии по маркетинговым исследованиям АО «Теплосеть Санкт-Петербурга»:</w:t>
      </w:r>
    </w:p>
    <w:p>
      <w:pPr>
        <w:pStyle w:val="Normal"/>
        <w:widowControl w:val="false"/>
        <w:spacing w:lineRule="auto" w:line="288" w:before="120" w:after="120"/>
        <w:contextualSpacing/>
        <w:jc w:val="both"/>
        <w:rPr>
          <w:sz w:val="20"/>
          <w:szCs w:val="20"/>
        </w:rPr>
      </w:pPr>
      <w:r>
        <w:rPr>
          <w:sz w:val="20"/>
          <w:szCs w:val="20"/>
        </w:rPr>
        <w:t>Буряк И.Н.</w:t>
      </w:r>
    </w:p>
    <w:p>
      <w:pPr>
        <w:pStyle w:val="Normal"/>
        <w:widowControl w:val="false"/>
        <w:spacing w:lineRule="auto" w:line="288" w:before="120" w:after="120"/>
        <w:contextualSpacing/>
        <w:jc w:val="both"/>
        <w:rPr>
          <w:sz w:val="20"/>
          <w:szCs w:val="20"/>
        </w:rPr>
      </w:pPr>
      <w:r>
        <w:rPr>
          <w:sz w:val="20"/>
          <w:szCs w:val="20"/>
        </w:rPr>
        <w:t>Кузнецов Д.Э.</w:t>
      </w:r>
    </w:p>
    <w:p>
      <w:pPr>
        <w:pStyle w:val="Normal"/>
        <w:widowControl w:val="false"/>
        <w:spacing w:lineRule="auto" w:line="288" w:before="120" w:after="120"/>
        <w:contextualSpacing/>
        <w:jc w:val="both"/>
        <w:rPr>
          <w:sz w:val="20"/>
          <w:szCs w:val="20"/>
        </w:rPr>
      </w:pPr>
      <w:r>
        <w:rPr>
          <w:sz w:val="20"/>
          <w:szCs w:val="20"/>
        </w:rPr>
        <w:t>Медведева Н.Л.</w:t>
      </w:r>
    </w:p>
    <w:p>
      <w:pPr>
        <w:pStyle w:val="Normal"/>
        <w:widowControl w:val="false"/>
        <w:spacing w:lineRule="auto" w:line="288" w:before="120" w:after="120"/>
        <w:contextualSpacing/>
        <w:jc w:val="both"/>
        <w:rPr>
          <w:sz w:val="20"/>
          <w:szCs w:val="20"/>
        </w:rPr>
      </w:pPr>
      <w:r>
        <w:rPr>
          <w:sz w:val="20"/>
          <w:szCs w:val="20"/>
        </w:rPr>
        <w:t>Пахунов Е.М.</w:t>
      </w:r>
    </w:p>
    <w:p>
      <w:pPr>
        <w:pStyle w:val="Normal"/>
        <w:widowControl w:val="false"/>
        <w:spacing w:lineRule="auto" w:line="288" w:before="120" w:after="120"/>
        <w:contextualSpacing/>
        <w:jc w:val="both"/>
        <w:rPr>
          <w:sz w:val="20"/>
          <w:szCs w:val="20"/>
        </w:rPr>
      </w:pPr>
      <w:r>
        <w:rPr>
          <w:sz w:val="20"/>
          <w:szCs w:val="20"/>
        </w:rPr>
        <w:t>Пуговкин В.М.</w:t>
      </w:r>
    </w:p>
    <w:p>
      <w:pPr>
        <w:pStyle w:val="Normal"/>
        <w:widowControl w:val="false"/>
        <w:spacing w:lineRule="auto" w:line="288" w:before="120" w:after="120"/>
        <w:contextualSpacing/>
        <w:jc w:val="both"/>
        <w:rPr>
          <w:sz w:val="20"/>
          <w:szCs w:val="20"/>
        </w:rPr>
      </w:pPr>
      <w:r>
        <w:rPr>
          <w:sz w:val="20"/>
          <w:szCs w:val="20"/>
        </w:rPr>
        <w:t>Северовостоков В.В.</w:t>
      </w:r>
    </w:p>
    <w:p>
      <w:pPr>
        <w:pStyle w:val="Normal"/>
        <w:widowControl w:val="false"/>
        <w:spacing w:lineRule="auto" w:line="288" w:before="120" w:after="120"/>
        <w:contextualSpacing/>
        <w:jc w:val="both"/>
        <w:rPr>
          <w:sz w:val="20"/>
          <w:szCs w:val="20"/>
        </w:rPr>
      </w:pPr>
      <w:r>
        <w:rPr>
          <w:sz w:val="20"/>
          <w:szCs w:val="20"/>
        </w:rPr>
        <w:t>Фомичев А.С.</w:t>
      </w:r>
    </w:p>
    <w:p>
      <w:pPr>
        <w:pStyle w:val="Normal"/>
        <w:widowControl w:val="false"/>
        <w:spacing w:lineRule="auto" w:line="288" w:before="120" w:after="120"/>
        <w:contextualSpacing/>
        <w:jc w:val="both"/>
        <w:rPr>
          <w:sz w:val="20"/>
          <w:szCs w:val="20"/>
        </w:rPr>
      </w:pPr>
      <w:r>
        <w:rPr>
          <w:sz w:val="20"/>
          <w:szCs w:val="20"/>
        </w:rPr>
      </w:r>
    </w:p>
    <w:p>
      <w:pPr>
        <w:pStyle w:val="Normal"/>
        <w:widowControl w:val="false"/>
        <w:spacing w:before="120" w:after="120"/>
        <w:contextualSpacing/>
        <w:jc w:val="both"/>
        <w:rPr>
          <w:b/>
          <w:sz w:val="20"/>
          <w:szCs w:val="20"/>
        </w:rPr>
      </w:pPr>
      <w:r>
        <w:rPr>
          <w:b/>
          <w:sz w:val="20"/>
          <w:szCs w:val="20"/>
        </w:rPr>
      </w:r>
    </w:p>
    <w:p>
      <w:pPr>
        <w:pStyle w:val="Normal"/>
        <w:widowControl w:val="false"/>
        <w:spacing w:before="120" w:after="120"/>
        <w:contextualSpacing/>
        <w:jc w:val="both"/>
        <w:rPr>
          <w:b/>
          <w:sz w:val="20"/>
          <w:szCs w:val="20"/>
        </w:rPr>
      </w:pPr>
      <w:r>
        <w:rPr>
          <w:b/>
          <w:sz w:val="20"/>
          <w:szCs w:val="20"/>
        </w:rPr>
        <w:t>ОТСУТСТВОВАЛИ: -</w:t>
      </w:r>
    </w:p>
    <w:p>
      <w:pPr>
        <w:pStyle w:val="Normal"/>
        <w:widowControl w:val="false"/>
        <w:spacing w:lineRule="auto" w:line="288" w:before="120" w:after="120"/>
        <w:contextualSpacing/>
        <w:jc w:val="both"/>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pPr>
      <w:r>
        <w:rPr>
          <w:b/>
          <w:sz w:val="20"/>
          <w:szCs w:val="20"/>
        </w:rPr>
        <w:t xml:space="preserve">Присутствовали 8 (восемь) из 8 (восьми) членов комиссии. </w:t>
      </w:r>
      <w:r>
        <w:rPr>
          <w:b/>
          <w:bCs/>
          <w:sz w:val="20"/>
          <w:szCs w:val="20"/>
        </w:rPr>
        <w:t>Комиссия правомочна осуществлять свои функции.</w:t>
      </w:r>
      <w:r>
        <w:rPr>
          <w:b/>
          <w:sz w:val="20"/>
          <w:szCs w:val="20"/>
        </w:rPr>
        <w:t xml:space="preserve"> Кворум для принятия решений имеется. </w:t>
      </w:r>
    </w:p>
    <w:p>
      <w:pPr>
        <w:pStyle w:val="Normal"/>
        <w:widowControl w:val="false"/>
        <w:numPr>
          <w:ilvl w:val="0"/>
          <w:numId w:val="0"/>
        </w:numPr>
        <w:tabs>
          <w:tab w:val="clear" w:pos="708"/>
          <w:tab w:val="left" w:pos="851" w:leader="none"/>
        </w:tabs>
        <w:spacing w:lineRule="auto" w:line="216"/>
        <w:jc w:val="both"/>
        <w:outlineLvl w:val="0"/>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b/>
          <w:sz w:val="20"/>
          <w:szCs w:val="20"/>
        </w:rPr>
      </w:pPr>
      <w:r>
        <w:rPr>
          <w:b/>
          <w:sz w:val="20"/>
          <w:szCs w:val="20"/>
        </w:rPr>
      </w:r>
    </w:p>
    <w:p>
      <w:pPr>
        <w:pStyle w:val="Normal"/>
        <w:widowControl w:val="false"/>
        <w:numPr>
          <w:ilvl w:val="0"/>
          <w:numId w:val="0"/>
        </w:numPr>
        <w:tabs>
          <w:tab w:val="clear" w:pos="708"/>
          <w:tab w:val="left" w:pos="851" w:leader="none"/>
        </w:tabs>
        <w:spacing w:lineRule="auto" w:line="216"/>
        <w:jc w:val="both"/>
        <w:outlineLvl w:val="0"/>
        <w:rPr/>
      </w:pPr>
      <w:r>
        <w:rPr>
          <w:b/>
          <w:sz w:val="20"/>
          <w:szCs w:val="20"/>
        </w:rPr>
        <w:t xml:space="preserve">ВОПРОСЫ ЗАСЕДАНИЯ КОМИССИИ ПО МАРКЕТИНГОВЫМ ИССЛЕДОВАНИЯМ </w:t>
        <w:br/>
        <w:t>АО «ТЕПЛОСЕТЬ САНКТ-ПЕТЕРБУРГА»:</w:t>
      </w:r>
    </w:p>
    <w:p>
      <w:pPr>
        <w:pStyle w:val="Normal"/>
        <w:widowControl w:val="false"/>
        <w:spacing w:before="120" w:after="120"/>
        <w:jc w:val="both"/>
        <w:rPr>
          <w:sz w:val="20"/>
          <w:szCs w:val="20"/>
        </w:rPr>
      </w:pPr>
      <w:r>
        <w:rPr>
          <w:sz w:val="20"/>
          <w:szCs w:val="20"/>
        </w:rPr>
        <w:t xml:space="preserve">На участие в закупке было подано 5 (пять) заявок: </w:t>
      </w:r>
    </w:p>
    <w:p>
      <w:pPr>
        <w:pStyle w:val="Normal"/>
        <w:widowControl w:val="false"/>
        <w:spacing w:before="120" w:after="120"/>
        <w:jc w:val="both"/>
        <w:rPr>
          <w:sz w:val="20"/>
          <w:szCs w:val="20"/>
        </w:rPr>
      </w:pPr>
      <w:r>
        <w:rPr>
          <w:sz w:val="20"/>
          <w:szCs w:val="20"/>
        </w:rPr>
      </w:r>
    </w:p>
    <w:tbl>
      <w:tblPr>
        <w:tblW w:w="9923" w:type="dxa"/>
        <w:jc w:val="start"/>
        <w:tblInd w:w="108" w:type="dxa"/>
        <w:tblLayout w:type="fixed"/>
        <w:tblCellMar>
          <w:top w:w="0" w:type="dxa"/>
          <w:start w:w="108" w:type="dxa"/>
          <w:bottom w:w="0" w:type="dxa"/>
          <w:end w:w="108" w:type="dxa"/>
        </w:tblCellMar>
      </w:tblPr>
      <w:tblGrid>
        <w:gridCol w:w="709"/>
        <w:gridCol w:w="6379"/>
        <w:gridCol w:w="2835"/>
      </w:tblGrid>
      <w:tr>
        <w:trPr>
          <w:tblHeader w:val="true"/>
          <w:trHeight w:val="473" w:hRule="atLeast"/>
        </w:trPr>
        <w:tc>
          <w:tcPr>
            <w:tcW w:w="70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108" w:end="-108"/>
              <w:jc w:val="center"/>
              <w:rPr>
                <w:sz w:val="20"/>
                <w:szCs w:val="20"/>
              </w:rPr>
            </w:pPr>
            <w:r>
              <w:rPr>
                <w:sz w:val="20"/>
                <w:szCs w:val="20"/>
              </w:rPr>
              <w:t>№</w:t>
            </w:r>
          </w:p>
          <w:p>
            <w:pPr>
              <w:pStyle w:val="Normal"/>
              <w:keepNext w:val="true"/>
              <w:spacing w:before="40" w:after="40"/>
              <w:ind w:start="-108" w:end="-108"/>
              <w:jc w:val="center"/>
              <w:rPr>
                <w:sz w:val="20"/>
                <w:szCs w:val="20"/>
              </w:rPr>
            </w:pPr>
            <w:r>
              <w:rPr>
                <w:sz w:val="20"/>
                <w:szCs w:val="20"/>
              </w:rPr>
              <w:t>заявки</w:t>
            </w:r>
          </w:p>
        </w:tc>
        <w:tc>
          <w:tcPr>
            <w:tcW w:w="637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57" w:end="57"/>
              <w:jc w:val="center"/>
              <w:rPr/>
            </w:pPr>
            <w:r>
              <w:rPr>
                <w:sz w:val="20"/>
                <w:szCs w:val="20"/>
              </w:rPr>
              <w:t>Наименование, ИНН, адрес Участника закупки</w:t>
            </w:r>
          </w:p>
        </w:tc>
        <w:tc>
          <w:tcPr>
            <w:tcW w:w="2835"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keepNext w:val="true"/>
              <w:spacing w:before="40" w:after="40"/>
              <w:ind w:start="57" w:end="57"/>
              <w:jc w:val="center"/>
              <w:rPr>
                <w:sz w:val="20"/>
                <w:szCs w:val="20"/>
              </w:rPr>
            </w:pPr>
            <w:r>
              <w:rPr>
                <w:sz w:val="20"/>
                <w:szCs w:val="20"/>
              </w:rPr>
              <w:t>Дата и время регистрации заявки</w:t>
            </w:r>
          </w:p>
        </w:tc>
      </w:tr>
      <w:tr>
        <w:trPr>
          <w:tblHeader w:val="true"/>
          <w:trHeight w:val="126" w:hRule="atLeast"/>
        </w:trPr>
        <w:tc>
          <w:tcPr>
            <w:tcW w:w="70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ind w:start="34" w:end="0"/>
              <w:jc w:val="center"/>
              <w:rPr>
                <w:i/>
                <w:i/>
                <w:sz w:val="20"/>
                <w:szCs w:val="20"/>
              </w:rPr>
            </w:pPr>
            <w:r>
              <w:rPr>
                <w:i/>
                <w:sz w:val="20"/>
                <w:szCs w:val="20"/>
              </w:rPr>
              <w:t>1</w:t>
            </w:r>
          </w:p>
        </w:tc>
        <w:tc>
          <w:tcPr>
            <w:tcW w:w="6379"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spacing w:before="40" w:after="40"/>
              <w:ind w:start="57" w:end="57"/>
              <w:jc w:val="center"/>
              <w:rPr>
                <w:i/>
                <w:i/>
                <w:sz w:val="20"/>
                <w:szCs w:val="20"/>
              </w:rPr>
            </w:pPr>
            <w:r>
              <w:rPr>
                <w:i/>
                <w:sz w:val="20"/>
                <w:szCs w:val="20"/>
              </w:rPr>
              <w:t>2</w:t>
            </w:r>
          </w:p>
        </w:tc>
        <w:tc>
          <w:tcPr>
            <w:tcW w:w="2835" w:type="dxa"/>
            <w:tcBorders>
              <w:top w:val="single" w:sz="4" w:space="0" w:color="000000"/>
              <w:start w:val="single" w:sz="4" w:space="0" w:color="000000"/>
              <w:bottom w:val="single" w:sz="4" w:space="0" w:color="000000"/>
              <w:end w:val="single" w:sz="4" w:space="0" w:color="000000"/>
            </w:tcBorders>
            <w:shd w:fill="BFBFBF" w:val="clear"/>
            <w:vAlign w:val="center"/>
          </w:tcPr>
          <w:p>
            <w:pPr>
              <w:pStyle w:val="Normal"/>
              <w:spacing w:before="40" w:after="40"/>
              <w:ind w:start="57" w:end="57"/>
              <w:jc w:val="center"/>
              <w:rPr>
                <w:i/>
                <w:i/>
                <w:sz w:val="20"/>
                <w:szCs w:val="20"/>
              </w:rPr>
            </w:pPr>
            <w:r>
              <w:rPr>
                <w:i/>
                <w:sz w:val="20"/>
                <w:szCs w:val="20"/>
              </w:rPr>
              <w:t>3</w:t>
            </w:r>
          </w:p>
        </w:tc>
      </w:tr>
      <w:tr>
        <w:trPr>
          <w:trHeight w:val="234" w:hRule="atLeast"/>
        </w:trPr>
        <w:tc>
          <w:tcPr>
            <w:tcW w:w="9923" w:type="dxa"/>
            <w:gridSpan w:val="3"/>
            <w:tcBorders>
              <w:top w:val="single" w:sz="4" w:space="0" w:color="000000"/>
              <w:start w:val="single" w:sz="4" w:space="0" w:color="000000"/>
              <w:bottom w:val="single" w:sz="4" w:space="0" w:color="000000"/>
              <w:end w:val="single" w:sz="4" w:space="0" w:color="000000"/>
            </w:tcBorders>
          </w:tcPr>
          <w:p>
            <w:pPr>
              <w:pStyle w:val="Normal"/>
              <w:jc w:val="both"/>
              <w:rPr>
                <w:b/>
                <w:sz w:val="20"/>
                <w:szCs w:val="20"/>
                <w:u w:val="single"/>
              </w:rPr>
            </w:pPr>
            <w:r>
              <w:rPr>
                <w:b/>
                <w:sz w:val="20"/>
                <w:szCs w:val="20"/>
              </w:rPr>
              <w:t>Лот № 1:</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br/>
              <w:t>5586</w:t>
            </w:r>
          </w:p>
          <w:p>
            <w:pPr>
              <w:pStyle w:val="Normal"/>
              <w:jc w:val="center"/>
              <w:rPr>
                <w:sz w:val="20"/>
                <w:szCs w:val="20"/>
              </w:rPr>
            </w:pPr>
            <w:r>
              <w:rPr>
                <w:sz w:val="20"/>
                <w:szCs w:val="20"/>
              </w:rPr>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"ГАЗКОМПЛЕКТ СЕВЕРО-ЗАПАД"</w:t>
            </w:r>
          </w:p>
          <w:p>
            <w:pPr>
              <w:pStyle w:val="Normal"/>
              <w:rPr>
                <w:sz w:val="20"/>
                <w:szCs w:val="20"/>
              </w:rPr>
            </w:pPr>
            <w:r>
              <w:rPr>
                <w:sz w:val="20"/>
                <w:szCs w:val="20"/>
              </w:rPr>
            </w:r>
          </w:p>
          <w:p>
            <w:pPr>
              <w:pStyle w:val="Normal"/>
              <w:rPr>
                <w:sz w:val="20"/>
                <w:szCs w:val="20"/>
              </w:rPr>
            </w:pPr>
            <w:r>
              <w:rPr>
                <w:sz w:val="20"/>
                <w:szCs w:val="20"/>
              </w:rPr>
              <w:t>ИНН 7802841427</w:t>
            </w:r>
          </w:p>
          <w:p>
            <w:pPr>
              <w:pStyle w:val="Normal"/>
              <w:rPr>
                <w:sz w:val="20"/>
                <w:szCs w:val="20"/>
              </w:rPr>
            </w:pPr>
            <w:r>
              <w:rPr>
                <w:sz w:val="20"/>
                <w:szCs w:val="20"/>
              </w:rPr>
            </w:r>
          </w:p>
          <w:p>
            <w:pPr>
              <w:pStyle w:val="Normal"/>
              <w:jc w:val="both"/>
              <w:rPr>
                <w:sz w:val="20"/>
                <w:szCs w:val="20"/>
              </w:rPr>
            </w:pPr>
            <w:r>
              <w:rPr>
                <w:sz w:val="20"/>
                <w:szCs w:val="20"/>
              </w:rPr>
              <w:t>195277, САНКТ-ПЕТЕРБУРГ, ПР-КТ БОЛЬШОЙ САМПСОНИЕВСКИЙ, Д. 28, К. 2 ЛИТЕРА Д, ПОМЕЩ. 33-Н ПОМ. 1,2</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02.12.2025 13:44</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9948</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"ДК СЕВЕРО-ЗАПАД"</w:t>
            </w:r>
          </w:p>
          <w:p>
            <w:pPr>
              <w:pStyle w:val="Normal"/>
              <w:rPr>
                <w:sz w:val="20"/>
                <w:szCs w:val="20"/>
              </w:rPr>
            </w:pPr>
            <w:r>
              <w:rPr>
                <w:sz w:val="20"/>
                <w:szCs w:val="20"/>
              </w:rPr>
            </w:r>
          </w:p>
          <w:p>
            <w:pPr>
              <w:pStyle w:val="Normal"/>
              <w:rPr>
                <w:sz w:val="20"/>
                <w:szCs w:val="20"/>
              </w:rPr>
            </w:pPr>
            <w:r>
              <w:rPr>
                <w:sz w:val="20"/>
                <w:szCs w:val="20"/>
              </w:rPr>
              <w:t>ИНН 4704119200</w:t>
            </w:r>
          </w:p>
          <w:p>
            <w:pPr>
              <w:pStyle w:val="Normal"/>
              <w:rPr>
                <w:sz w:val="20"/>
                <w:szCs w:val="20"/>
              </w:rPr>
            </w:pPr>
            <w:r>
              <w:rPr>
                <w:sz w:val="20"/>
                <w:szCs w:val="20"/>
              </w:rPr>
            </w:r>
          </w:p>
          <w:p>
            <w:pPr>
              <w:pStyle w:val="Normal"/>
              <w:rPr>
                <w:sz w:val="20"/>
                <w:szCs w:val="20"/>
              </w:rPr>
            </w:pPr>
            <w:r>
              <w:rPr>
                <w:sz w:val="20"/>
                <w:szCs w:val="20"/>
              </w:rPr>
              <w:t>ЛЕНИНГРАДСКАЯ ОБЛАСТЬ, м.р-н. ВЫБОРГСКИЙ, КАМЕННОГОРСКОЕ, ТЕР. КАМЕННОГОРСКАЯ, ЗД. 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03.12.2025 10:36</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4794</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"ПРАЙД"</w:t>
            </w:r>
          </w:p>
          <w:p>
            <w:pPr>
              <w:pStyle w:val="Normal"/>
              <w:rPr>
                <w:sz w:val="20"/>
                <w:szCs w:val="20"/>
              </w:rPr>
            </w:pPr>
            <w:r>
              <w:rPr>
                <w:sz w:val="20"/>
                <w:szCs w:val="20"/>
              </w:rPr>
            </w:r>
          </w:p>
          <w:p>
            <w:pPr>
              <w:pStyle w:val="Normal"/>
              <w:rPr>
                <w:sz w:val="20"/>
                <w:szCs w:val="20"/>
              </w:rPr>
            </w:pPr>
            <w:r>
              <w:rPr>
                <w:sz w:val="20"/>
                <w:szCs w:val="20"/>
              </w:rPr>
              <w:t>ИНН 7802675096</w:t>
            </w:r>
          </w:p>
          <w:p>
            <w:pPr>
              <w:pStyle w:val="Normal"/>
              <w:rPr>
                <w:sz w:val="20"/>
                <w:szCs w:val="20"/>
              </w:rPr>
            </w:pPr>
            <w:r>
              <w:rPr>
                <w:sz w:val="20"/>
                <w:szCs w:val="20"/>
              </w:rPr>
            </w:r>
          </w:p>
          <w:p>
            <w:pPr>
              <w:pStyle w:val="Normal"/>
              <w:jc w:val="both"/>
              <w:rPr>
                <w:sz w:val="20"/>
                <w:szCs w:val="20"/>
              </w:rPr>
            </w:pPr>
            <w:r>
              <w:rPr>
                <w:sz w:val="20"/>
                <w:szCs w:val="20"/>
              </w:rPr>
              <w:t>194156, Российская федерация, Санкт-Петербург, НОВОРОССИЙСКАЯ УЛ., д. 28, к. 2 ЛИТЕР А, ПОМЕЩ. 12-Н, ОФИС 5</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03.12.2025 10:59</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8340</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"ЭРГО"</w:t>
            </w:r>
          </w:p>
          <w:p>
            <w:pPr>
              <w:pStyle w:val="Normal"/>
              <w:rPr>
                <w:sz w:val="20"/>
                <w:szCs w:val="20"/>
              </w:rPr>
            </w:pPr>
            <w:r>
              <w:rPr>
                <w:sz w:val="20"/>
                <w:szCs w:val="20"/>
              </w:rPr>
            </w:r>
          </w:p>
          <w:p>
            <w:pPr>
              <w:pStyle w:val="Normal"/>
              <w:rPr>
                <w:sz w:val="20"/>
                <w:szCs w:val="20"/>
              </w:rPr>
            </w:pPr>
            <w:r>
              <w:rPr>
                <w:sz w:val="20"/>
                <w:szCs w:val="20"/>
              </w:rPr>
              <w:t>ИНН 7810155809</w:t>
            </w:r>
          </w:p>
          <w:p>
            <w:pPr>
              <w:pStyle w:val="Normal"/>
              <w:rPr>
                <w:sz w:val="20"/>
                <w:szCs w:val="20"/>
              </w:rPr>
            </w:pPr>
            <w:r>
              <w:rPr>
                <w:sz w:val="20"/>
                <w:szCs w:val="20"/>
              </w:rPr>
            </w:r>
          </w:p>
          <w:p>
            <w:pPr>
              <w:pStyle w:val="Normal"/>
              <w:jc w:val="both"/>
              <w:rPr>
                <w:sz w:val="20"/>
                <w:szCs w:val="20"/>
              </w:rPr>
            </w:pPr>
            <w:r>
              <w:rPr>
                <w:sz w:val="20"/>
                <w:szCs w:val="20"/>
              </w:rPr>
              <w:t>196006, Российская федерация, Санкт-Петербург, КОЛИ ТОМЧАКА УЛ., д. 28, ЛИТЕР А, КАБИНЕТ 121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03.12.2025 11:52</w:t>
            </w:r>
          </w:p>
        </w:tc>
      </w:tr>
      <w:tr>
        <w:trPr>
          <w:trHeight w:val="474" w:hRule="atLeast"/>
        </w:trPr>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2804</w:t>
            </w:r>
          </w:p>
        </w:tc>
        <w:tc>
          <w:tcPr>
            <w:tcW w:w="6379" w:type="dxa"/>
            <w:tcBorders>
              <w:top w:val="single" w:sz="4" w:space="0" w:color="000000"/>
              <w:start w:val="single" w:sz="4" w:space="0" w:color="000000"/>
              <w:bottom w:val="single" w:sz="4" w:space="0" w:color="000000"/>
              <w:end w:val="single" w:sz="4" w:space="0" w:color="000000"/>
            </w:tcBorders>
            <w:vAlign w:val="center"/>
          </w:tcPr>
          <w:p>
            <w:pPr>
              <w:pStyle w:val="Normal"/>
              <w:rPr>
                <w:sz w:val="20"/>
                <w:szCs w:val="20"/>
              </w:rPr>
            </w:pPr>
            <w:r>
              <w:rPr>
                <w:sz w:val="20"/>
                <w:szCs w:val="20"/>
              </w:rPr>
              <w:t>ОБЩЕСТВО С ОГРАНИЧЕННОЙ ОТВЕТСТВЕННОСТЬЮ "ТОРГОВЫЙ ДОМ "ИНГМАР"</w:t>
            </w:r>
          </w:p>
          <w:p>
            <w:pPr>
              <w:pStyle w:val="Normal"/>
              <w:rPr>
                <w:sz w:val="20"/>
                <w:szCs w:val="20"/>
              </w:rPr>
            </w:pPr>
            <w:r>
              <w:rPr>
                <w:sz w:val="20"/>
                <w:szCs w:val="20"/>
              </w:rPr>
            </w:r>
          </w:p>
          <w:p>
            <w:pPr>
              <w:pStyle w:val="Normal"/>
              <w:rPr>
                <w:sz w:val="20"/>
                <w:szCs w:val="20"/>
              </w:rPr>
            </w:pPr>
            <w:r>
              <w:rPr>
                <w:sz w:val="20"/>
                <w:szCs w:val="20"/>
              </w:rPr>
              <w:t>ИНН 7806260663</w:t>
            </w:r>
          </w:p>
          <w:p>
            <w:pPr>
              <w:pStyle w:val="Normal"/>
              <w:rPr>
                <w:sz w:val="20"/>
                <w:szCs w:val="20"/>
              </w:rPr>
            </w:pPr>
            <w:r>
              <w:rPr>
                <w:sz w:val="20"/>
                <w:szCs w:val="20"/>
              </w:rPr>
            </w:r>
          </w:p>
          <w:p>
            <w:pPr>
              <w:pStyle w:val="Normal"/>
              <w:jc w:val="both"/>
              <w:rPr>
                <w:sz w:val="20"/>
                <w:szCs w:val="20"/>
              </w:rPr>
            </w:pPr>
            <w:r>
              <w:rPr>
                <w:sz w:val="20"/>
                <w:szCs w:val="20"/>
              </w:rPr>
              <w:t>199155, САНКТ-ПЕТЕРБУРГ, вн.тер.г. МУНИЦИПАЛЬНЫЙ ОКРУГ ОСТРОВ ДЕКАБРИСТОВ, УЛ УРАЛЬСКАЯ, Д. 1, К. 2, ЛИТЕРА А, ПОМЕЩ. 123</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szCs w:val="20"/>
              </w:rPr>
            </w:pPr>
            <w:r>
              <w:rPr>
                <w:sz w:val="20"/>
                <w:szCs w:val="20"/>
              </w:rPr>
              <w:t>03.12.2025 11:55</w:t>
            </w:r>
          </w:p>
        </w:tc>
      </w:tr>
    </w:tbl>
    <w:p>
      <w:pPr>
        <w:pStyle w:val="Normal"/>
        <w:widowControl w:val="false"/>
        <w:spacing w:before="120" w:after="120"/>
        <w:rPr>
          <w:b/>
          <w:sz w:val="20"/>
          <w:szCs w:val="20"/>
        </w:rPr>
      </w:pPr>
      <w:r>
        <w:rPr>
          <w:b/>
          <w:sz w:val="20"/>
          <w:szCs w:val="20"/>
        </w:rPr>
      </w:r>
    </w:p>
    <w:p>
      <w:pPr>
        <w:pStyle w:val="Normal"/>
        <w:widowControl w:val="false"/>
        <w:spacing w:before="120" w:after="120"/>
        <w:rPr/>
      </w:pPr>
      <w:r>
        <w:rPr>
          <w:b/>
          <w:sz w:val="20"/>
          <w:szCs w:val="20"/>
        </w:rPr>
        <w:t>Вопрос 1 повестки:</w:t>
      </w:r>
    </w:p>
    <w:p>
      <w:pPr>
        <w:pStyle w:val="Normal"/>
        <w:widowControl w:val="false"/>
        <w:spacing w:before="120" w:after="120"/>
        <w:ind w:firstLine="567" w:end="0"/>
        <w:contextualSpacing/>
        <w:jc w:val="both"/>
        <w:rPr>
          <w:sz w:val="20"/>
          <w:szCs w:val="20"/>
        </w:rPr>
      </w:pPr>
      <w:r>
        <w:rPr>
          <w:sz w:val="20"/>
          <w:szCs w:val="20"/>
        </w:rPr>
        <w:t>Об одобрении</w:t>
      </w:r>
      <w:r>
        <w:rPr>
          <w:i/>
          <w:sz w:val="20"/>
          <w:szCs w:val="20"/>
        </w:rPr>
        <w:t xml:space="preserve"> </w:t>
      </w:r>
      <w:r>
        <w:rPr>
          <w:sz w:val="20"/>
          <w:szCs w:val="20"/>
        </w:rPr>
        <w:t>Сводного заключения Экспертного совета по рассмотрению заявок и подведению итогов открытых маркетинговых исследований.</w:t>
      </w:r>
    </w:p>
    <w:p>
      <w:pPr>
        <w:pStyle w:val="Normal"/>
        <w:widowControl w:val="false"/>
        <w:spacing w:before="120" w:after="120"/>
        <w:ind w:firstLine="567" w:end="0"/>
        <w:contextualSpacing/>
        <w:jc w:val="both"/>
        <w:rPr>
          <w:sz w:val="20"/>
          <w:szCs w:val="20"/>
        </w:rPr>
      </w:pPr>
      <w:r>
        <w:rPr>
          <w:sz w:val="20"/>
          <w:szCs w:val="20"/>
        </w:rPr>
        <w:t xml:space="preserve">Члены Комиссии по маркетинговым исследованиям АО «Теплосеть Санкт-Петербурга» изучили поступившие заявки. Результаты оценки сведены в Сводном заключении Экспертного совета по рассмотрению заявок и подведению итогов открытых маркетинговых исследований (Приложение № 1). </w:t>
      </w:r>
    </w:p>
    <w:p>
      <w:pPr>
        <w:pStyle w:val="Normal"/>
        <w:widowControl w:val="false"/>
        <w:spacing w:before="120" w:after="120"/>
        <w:ind w:firstLine="567" w:end="0"/>
        <w:contextualSpacing/>
        <w:jc w:val="both"/>
        <w:rPr>
          <w:sz w:val="20"/>
          <w:szCs w:val="20"/>
        </w:rPr>
      </w:pPr>
      <w:r>
        <w:rPr>
          <w:sz w:val="20"/>
          <w:szCs w:val="20"/>
        </w:rPr>
        <w:t>Комиссии по маркетинговым исследованиям АО «Теплосеть Санкт-Петербурга» предлагается одобрить Сводное заключение Экспертного совета по рассмотрению заявок и подведению итогов открытых маркетинговых исследований.</w:t>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r>
    </w:p>
    <w:p>
      <w:pPr>
        <w:pStyle w:val="Normal"/>
        <w:widowControl w:val="false"/>
        <w:spacing w:before="120" w:after="120"/>
        <w:rPr/>
      </w:pPr>
      <w:r>
        <w:rPr>
          <w:b/>
          <w:sz w:val="20"/>
          <w:szCs w:val="20"/>
        </w:rPr>
        <w:t>Вопрос 2 повестки:</w:t>
      </w:r>
    </w:p>
    <w:p>
      <w:pPr>
        <w:pStyle w:val="Normal"/>
        <w:ind w:firstLine="567" w:end="0"/>
        <w:jc w:val="both"/>
        <w:rPr>
          <w:sz w:val="20"/>
          <w:szCs w:val="20"/>
        </w:rPr>
      </w:pPr>
      <w:r>
        <w:rPr>
          <w:sz w:val="20"/>
          <w:szCs w:val="20"/>
        </w:rPr>
        <w:t xml:space="preserve">О признании заявок: </w:t>
      </w:r>
    </w:p>
    <w:p>
      <w:pPr>
        <w:pStyle w:val="Normal"/>
        <w:rPr/>
      </w:pPr>
      <w:r>
        <w:rPr>
          <w:sz w:val="20"/>
          <w:szCs w:val="20"/>
        </w:rPr>
        <w:t>- ОБЩЕСТВА С ОГРАНИЧЕННОЙ ОТВЕТСТВЕННОСТЬЮ "ПРАЙД"</w:t>
      </w:r>
    </w:p>
    <w:p>
      <w:pPr>
        <w:pStyle w:val="Normal"/>
        <w:rPr/>
      </w:pPr>
      <w:r>
        <w:rPr>
          <w:sz w:val="20"/>
          <w:szCs w:val="20"/>
        </w:rPr>
        <w:t>- ОБЩЕСТВА С ОГРАНИЧЕННОЙ ОТВЕТСТВЕННОСТЬЮ "ЭРГО"</w:t>
      </w:r>
    </w:p>
    <w:p>
      <w:pPr>
        <w:pStyle w:val="Normal"/>
        <w:rPr>
          <w:sz w:val="20"/>
          <w:szCs w:val="20"/>
        </w:rPr>
      </w:pPr>
      <w:r>
        <w:rPr>
          <w:sz w:val="20"/>
          <w:szCs w:val="20"/>
        </w:rPr>
        <w:t>- ОБЩЕСТВА С ОГРАНИЧЕННОЙ ОТВЕТСТВЕННОСТЬЮ "ТОРГОВЫЙ ДОМ "ИНГМАР"</w:t>
      </w:r>
    </w:p>
    <w:p>
      <w:pPr>
        <w:pStyle w:val="Normal"/>
        <w:ind w:firstLine="567" w:end="0"/>
        <w:jc w:val="both"/>
        <w:rPr/>
      </w:pPr>
      <w:r>
        <w:rPr>
          <w:sz w:val="20"/>
          <w:szCs w:val="20"/>
        </w:rPr>
        <w:t xml:space="preserve">соответствующими условиям закупки. </w:t>
      </w:r>
    </w:p>
    <w:p>
      <w:pPr>
        <w:pStyle w:val="Normal"/>
        <w:ind w:firstLine="567" w:end="0"/>
        <w:jc w:val="both"/>
        <w:rPr>
          <w:sz w:val="20"/>
          <w:szCs w:val="20"/>
        </w:rPr>
      </w:pPr>
      <w:r>
        <w:rPr>
          <w:sz w:val="20"/>
          <w:szCs w:val="20"/>
        </w:rPr>
      </w:r>
    </w:p>
    <w:p>
      <w:pPr>
        <w:pStyle w:val="Normal"/>
        <w:widowControl w:val="false"/>
        <w:spacing w:before="120" w:after="120"/>
        <w:rPr>
          <w:b/>
          <w:sz w:val="20"/>
          <w:szCs w:val="20"/>
        </w:rPr>
      </w:pPr>
      <w:r>
        <w:rPr>
          <w:b/>
          <w:sz w:val="20"/>
          <w:szCs w:val="20"/>
        </w:rPr>
        <w:t>Вопрос 3 повестки:</w:t>
      </w:r>
    </w:p>
    <w:p>
      <w:pPr>
        <w:pStyle w:val="Normal"/>
        <w:ind w:firstLine="567" w:end="0"/>
        <w:rPr>
          <w:sz w:val="20"/>
          <w:szCs w:val="20"/>
        </w:rPr>
      </w:pPr>
      <w:r>
        <w:rPr>
          <w:sz w:val="20"/>
          <w:szCs w:val="20"/>
        </w:rPr>
        <w:t xml:space="preserve">Об отклонении заявок: </w:t>
      </w:r>
    </w:p>
    <w:p>
      <w:pPr>
        <w:pStyle w:val="Normal"/>
        <w:rPr>
          <w:sz w:val="20"/>
          <w:szCs w:val="20"/>
        </w:rPr>
      </w:pPr>
      <w:r>
        <w:rPr>
          <w:sz w:val="20"/>
          <w:szCs w:val="20"/>
        </w:rPr>
        <w:t>- ОБЩЕСТВА С ОГРАНИЧЕННОЙ ОТВЕТСТВЕННОСТЬЮ "ГАЗКОМПЛЕКТ СЕВЕРО-ЗАПАД"</w:t>
      </w:r>
    </w:p>
    <w:p>
      <w:pPr>
        <w:pStyle w:val="Normal"/>
        <w:ind w:firstLine="567" w:end="0"/>
        <w:rPr>
          <w:b/>
          <w:sz w:val="20"/>
          <w:szCs w:val="20"/>
          <w:u w:val="single"/>
        </w:rPr>
      </w:pPr>
      <w:r>
        <w:rPr>
          <w:b/>
          <w:sz w:val="20"/>
          <w:szCs w:val="20"/>
          <w:u w:val="single"/>
        </w:rPr>
        <w:t>Причина отклонения:</w:t>
      </w:r>
    </w:p>
    <w:p>
      <w:pPr>
        <w:pStyle w:val="Normal"/>
        <w:ind w:firstLine="567" w:end="0"/>
        <w:jc w:val="both"/>
        <w:rPr/>
      </w:pPr>
      <w:r>
        <w:rPr>
          <w:sz w:val="20"/>
          <w:szCs w:val="20"/>
        </w:rPr>
        <w:t xml:space="preserve">Участник в Форме 5 и в Форме 6 не указал номер реестровой записи, не приложил выписку из реестра, у остальных участников закупки реестровые номера предоставлены, заявка не соответствует требованиям </w:t>
        <w:br/>
        <w:t>п.п. 1.4.4.2. Заявка отклонена на основании п. 2.6.6. Документации, а также согласно Постановлению Правительства РФ от 23.12.2024 № 1875 ввиду установления ограничения закупки иностранной продукции.</w:t>
      </w:r>
    </w:p>
    <w:p>
      <w:pPr>
        <w:pStyle w:val="Normal"/>
        <w:jc w:val="both"/>
        <w:rPr>
          <w:sz w:val="20"/>
          <w:szCs w:val="20"/>
        </w:rPr>
      </w:pPr>
      <w:r>
        <w:rPr>
          <w:sz w:val="20"/>
          <w:szCs w:val="20"/>
        </w:rPr>
      </w:r>
    </w:p>
    <w:p>
      <w:pPr>
        <w:pStyle w:val="Normal"/>
        <w:jc w:val="both"/>
        <w:rPr>
          <w:sz w:val="20"/>
          <w:szCs w:val="20"/>
        </w:rPr>
      </w:pPr>
      <w:r>
        <w:rPr>
          <w:sz w:val="20"/>
          <w:szCs w:val="20"/>
        </w:rPr>
        <w:t>- ОБЩЕСТВА С ОГРАНИЧЕННОЙ ОТВЕТСТВЕННОСТЬЮ "ДК СЕВЕРО-ЗАПАД"</w:t>
      </w:r>
    </w:p>
    <w:p>
      <w:pPr>
        <w:pStyle w:val="Normal"/>
        <w:ind w:firstLine="567" w:end="0"/>
        <w:jc w:val="both"/>
        <w:rPr>
          <w:b/>
          <w:sz w:val="20"/>
          <w:szCs w:val="20"/>
          <w:u w:val="single"/>
        </w:rPr>
      </w:pPr>
      <w:r>
        <w:rPr>
          <w:b/>
          <w:sz w:val="20"/>
          <w:szCs w:val="20"/>
          <w:u w:val="single"/>
        </w:rPr>
        <w:t>Причина отклонения:</w:t>
      </w:r>
    </w:p>
    <w:p>
      <w:pPr>
        <w:pStyle w:val="Normal"/>
        <w:ind w:firstLine="567" w:end="0"/>
        <w:jc w:val="both"/>
        <w:rPr/>
      </w:pPr>
      <w:r>
        <w:rPr>
          <w:sz w:val="20"/>
          <w:szCs w:val="20"/>
        </w:rPr>
        <w:t xml:space="preserve">Участник в составе заявки приложил документы, относящиеся к другой закупке (Письмо о подаче заявки-оферты, Форма 6 Ценовое предложение). Заявка отклонена на основании п. 2.6.6. Документации. </w:t>
      </w:r>
    </w:p>
    <w:p>
      <w:pPr>
        <w:pStyle w:val="Normal"/>
        <w:ind w:firstLine="567" w:end="0"/>
        <w:rPr>
          <w:b/>
          <w:sz w:val="20"/>
          <w:szCs w:val="20"/>
          <w:u w:val="single"/>
        </w:rPr>
      </w:pPr>
      <w:r>
        <w:rPr>
          <w:b/>
          <w:sz w:val="20"/>
          <w:szCs w:val="20"/>
          <w:u w:val="single"/>
        </w:rPr>
      </w:r>
    </w:p>
    <w:p>
      <w:pPr>
        <w:pStyle w:val="Normal"/>
        <w:widowControl w:val="false"/>
        <w:spacing w:before="120" w:after="120"/>
        <w:rPr>
          <w:b/>
          <w:sz w:val="20"/>
          <w:szCs w:val="20"/>
        </w:rPr>
      </w:pPr>
      <w:r>
        <w:rPr>
          <w:b/>
          <w:sz w:val="20"/>
          <w:szCs w:val="20"/>
        </w:rPr>
        <w:t>Вопрос 4 повестки:</w:t>
      </w:r>
    </w:p>
    <w:p>
      <w:pPr>
        <w:pStyle w:val="Normal"/>
        <w:widowControl w:val="false"/>
        <w:spacing w:before="120" w:after="120"/>
        <w:ind w:firstLine="567" w:end="0"/>
        <w:contextualSpacing/>
        <w:jc w:val="both"/>
        <w:rPr>
          <w:sz w:val="20"/>
          <w:szCs w:val="20"/>
        </w:rPr>
      </w:pPr>
      <w:r>
        <w:rPr>
          <w:sz w:val="20"/>
          <w:szCs w:val="20"/>
        </w:rPr>
        <w:t>О выборе наиболее выгодных условий поставки товара.</w:t>
      </w:r>
    </w:p>
    <w:p>
      <w:pPr>
        <w:pStyle w:val="Normal"/>
        <w:jc w:val="both"/>
        <w:rPr>
          <w:sz w:val="20"/>
          <w:szCs w:val="20"/>
        </w:rPr>
      </w:pPr>
      <w:r>
        <w:rPr>
          <w:sz w:val="20"/>
          <w:szCs w:val="20"/>
        </w:rPr>
        <w:t>Предлагается выбрать наиболее выгодные условия поставки товара в заявке ОБЩЕСТВА С ОГРАНИЧЕННОЙ ОТВЕТСТВЕННОСТЬЮ "ЭРГО".</w:t>
      </w:r>
    </w:p>
    <w:p>
      <w:pPr>
        <w:pStyle w:val="Normal"/>
        <w:ind w:firstLine="567" w:end="0"/>
        <w:jc w:val="both"/>
        <w:rPr>
          <w:b/>
          <w:sz w:val="20"/>
          <w:szCs w:val="20"/>
        </w:rPr>
      </w:pPr>
      <w:r>
        <w:rPr>
          <w:b/>
          <w:sz w:val="20"/>
          <w:szCs w:val="20"/>
        </w:rPr>
      </w:r>
    </w:p>
    <w:p>
      <w:pPr>
        <w:pStyle w:val="Normal"/>
        <w:spacing w:before="120" w:after="120"/>
        <w:rPr/>
      </w:pPr>
      <w:r>
        <w:rPr>
          <w:b/>
          <w:sz w:val="20"/>
          <w:szCs w:val="20"/>
        </w:rPr>
        <w:t>Вопрос 5 повестки:</w:t>
      </w:r>
    </w:p>
    <w:p>
      <w:pPr>
        <w:pStyle w:val="Normal"/>
        <w:spacing w:before="120" w:after="120"/>
        <w:ind w:firstLine="567" w:end="0"/>
        <w:contextualSpacing/>
        <w:jc w:val="both"/>
        <w:rPr/>
      </w:pPr>
      <w:r>
        <w:rPr>
          <w:sz w:val="20"/>
          <w:szCs w:val="20"/>
        </w:rPr>
        <w:t>О возможности проведения преддоговорных переговоров с победителем.</w:t>
      </w:r>
    </w:p>
    <w:p>
      <w:pPr>
        <w:pStyle w:val="Normal"/>
        <w:jc w:val="both"/>
        <w:rPr>
          <w:sz w:val="20"/>
          <w:szCs w:val="20"/>
        </w:rPr>
      </w:pPr>
      <w:r>
        <w:rPr>
          <w:sz w:val="20"/>
          <w:szCs w:val="20"/>
        </w:rPr>
        <w:t>В целях уточнения несущественных для заказчика условий договора, а также улучшения технико-коммерческого предложения победителя допускается проведение преддоговорных переговоров с ОБЩЕСТВОМ С ОГРАНИЧЕННОЙ ОТВЕТСТВЕННОСТЬЮ "ЭРГО".</w:t>
      </w:r>
    </w:p>
    <w:p>
      <w:pPr>
        <w:pStyle w:val="Normal"/>
        <w:spacing w:before="0" w:after="0"/>
        <w:ind w:firstLine="567" w:end="0"/>
        <w:contextualSpacing/>
        <w:jc w:val="both"/>
        <w:rPr>
          <w:b/>
          <w:sz w:val="20"/>
          <w:szCs w:val="20"/>
        </w:rPr>
      </w:pPr>
      <w:r>
        <w:rPr>
          <w:sz w:val="20"/>
          <w:szCs w:val="20"/>
        </w:rPr>
        <w:t>Зафиксировать результат преддоговорных переговоров в окончательных условиях заключаемого договора.</w:t>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РЕШИЛИ:</w:t>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Одобрить Сводное заключение Экспертного совета по рассмотрению заявок и подведению итогов открытых маркетинговых исследований.</w:t>
      </w:r>
    </w:p>
    <w:p>
      <w:pPr>
        <w:pStyle w:val="Normal"/>
        <w:widowControl w:val="false"/>
        <w:tabs>
          <w:tab w:val="clear" w:pos="708"/>
          <w:tab w:val="left" w:pos="-2835" w:leader="none"/>
          <w:tab w:val="left" w:pos="284" w:leader="none"/>
        </w:tabs>
        <w:spacing w:before="120" w:after="0"/>
        <w:contextualSpacing/>
        <w:jc w:val="both"/>
        <w:rPr>
          <w:sz w:val="20"/>
          <w:szCs w:val="20"/>
        </w:rPr>
      </w:pPr>
      <w:r>
        <w:rPr>
          <w:sz w:val="20"/>
          <w:szCs w:val="20"/>
        </w:rPr>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 xml:space="preserve">Признать заявки: </w:t>
      </w:r>
    </w:p>
    <w:p>
      <w:pPr>
        <w:pStyle w:val="Normal"/>
        <w:rPr/>
      </w:pPr>
      <w:r>
        <w:rPr>
          <w:sz w:val="20"/>
          <w:szCs w:val="20"/>
        </w:rPr>
        <w:t>- ОБЩЕСТВА С ОГРАНИЧЕННОЙ ОТВЕТСТВЕННОСТЬЮ "ПРАЙД"</w:t>
      </w:r>
    </w:p>
    <w:p>
      <w:pPr>
        <w:pStyle w:val="Normal"/>
        <w:rPr/>
      </w:pPr>
      <w:r>
        <w:rPr>
          <w:sz w:val="20"/>
          <w:szCs w:val="20"/>
        </w:rPr>
        <w:t>- ОБЩЕСТВА С ОГРАНИЧЕННОЙ ОТВЕТСТВЕННОСТЬЮ "ЭРГО"</w:t>
      </w:r>
    </w:p>
    <w:p>
      <w:pPr>
        <w:pStyle w:val="Normal"/>
        <w:rPr>
          <w:sz w:val="20"/>
          <w:szCs w:val="20"/>
        </w:rPr>
      </w:pPr>
      <w:r>
        <w:rPr>
          <w:sz w:val="20"/>
          <w:szCs w:val="20"/>
        </w:rPr>
        <w:t>- ОБЩЕСТВА С ОГРАНИЧЕННОЙ ОТВЕТСТВЕННОСТЬЮ "ТОРГОВЫЙ ДОМ "ИНГМАР"</w:t>
      </w:r>
    </w:p>
    <w:p>
      <w:pPr>
        <w:pStyle w:val="Normal"/>
        <w:widowControl w:val="false"/>
        <w:tabs>
          <w:tab w:val="clear" w:pos="708"/>
          <w:tab w:val="left" w:pos="-2835" w:leader="none"/>
          <w:tab w:val="left" w:pos="284" w:leader="none"/>
        </w:tabs>
        <w:spacing w:before="120" w:after="0"/>
        <w:ind w:firstLine="284" w:end="0"/>
        <w:contextualSpacing/>
        <w:jc w:val="both"/>
        <w:rPr>
          <w:sz w:val="20"/>
          <w:szCs w:val="20"/>
        </w:rPr>
      </w:pPr>
      <w:r>
        <w:rPr>
          <w:sz w:val="20"/>
          <w:szCs w:val="20"/>
        </w:rPr>
        <w:t>соответствующими условиям закупки.</w:t>
      </w:r>
    </w:p>
    <w:p>
      <w:pPr>
        <w:pStyle w:val="Normal"/>
        <w:widowControl w:val="false"/>
        <w:tabs>
          <w:tab w:val="clear" w:pos="708"/>
          <w:tab w:val="left" w:pos="-2835" w:leader="none"/>
          <w:tab w:val="left" w:pos="284" w:leader="none"/>
        </w:tabs>
        <w:spacing w:before="120" w:after="0"/>
        <w:ind w:firstLine="284" w:end="0"/>
        <w:contextualSpacing/>
        <w:jc w:val="both"/>
        <w:rPr>
          <w:sz w:val="20"/>
          <w:szCs w:val="20"/>
        </w:rPr>
      </w:pPr>
      <w:r>
        <w:rPr>
          <w:sz w:val="20"/>
          <w:szCs w:val="20"/>
        </w:rPr>
      </w:r>
    </w:p>
    <w:p>
      <w:pPr>
        <w:pStyle w:val="Normal"/>
        <w:numPr>
          <w:ilvl w:val="0"/>
          <w:numId w:val="2"/>
        </w:numPr>
        <w:ind w:hanging="284" w:start="284" w:end="0"/>
        <w:rPr>
          <w:sz w:val="20"/>
          <w:szCs w:val="20"/>
        </w:rPr>
      </w:pPr>
      <w:r>
        <w:rPr>
          <w:sz w:val="20"/>
          <w:szCs w:val="20"/>
        </w:rPr>
        <w:t xml:space="preserve">Отклонить заявки: </w:t>
      </w:r>
    </w:p>
    <w:p>
      <w:pPr>
        <w:pStyle w:val="Normal"/>
        <w:rPr/>
      </w:pPr>
      <w:r>
        <w:rPr>
          <w:sz w:val="20"/>
          <w:szCs w:val="20"/>
        </w:rPr>
        <w:t>- ОБЩЕСТВА С ОГРАНИЧЕННОЙ ОТВЕТСТВЕННОСТЬЮ "ГАЗКОМПЛЕКТ СЕВЕРО-ЗАПАД"</w:t>
      </w:r>
    </w:p>
    <w:p>
      <w:pPr>
        <w:pStyle w:val="Normal"/>
        <w:rPr>
          <w:sz w:val="20"/>
          <w:szCs w:val="20"/>
        </w:rPr>
      </w:pPr>
      <w:r>
        <w:rPr>
          <w:sz w:val="20"/>
          <w:szCs w:val="20"/>
        </w:rPr>
        <w:t>- ОБЩЕСТВА С ОГРАНИЧЕННОЙ ОТВЕТСТВЕННОСТЬЮ "ДК СЕВЕРО-ЗАПАД".</w:t>
      </w:r>
    </w:p>
    <w:p>
      <w:pPr>
        <w:pStyle w:val="Normal"/>
        <w:rPr>
          <w:sz w:val="20"/>
          <w:szCs w:val="20"/>
        </w:rPr>
      </w:pPr>
      <w:r>
        <w:rPr>
          <w:sz w:val="20"/>
          <w:szCs w:val="20"/>
        </w:rPr>
      </w:r>
    </w:p>
    <w:p>
      <w:pPr>
        <w:pStyle w:val="Normal"/>
        <w:widowControl w:val="false"/>
        <w:numPr>
          <w:ilvl w:val="0"/>
          <w:numId w:val="2"/>
        </w:numPr>
        <w:tabs>
          <w:tab w:val="clear" w:pos="708"/>
          <w:tab w:val="left" w:pos="-2835" w:leader="none"/>
          <w:tab w:val="left" w:pos="0" w:leader="none"/>
          <w:tab w:val="left" w:pos="284" w:leader="none"/>
        </w:tabs>
        <w:spacing w:before="120" w:after="0"/>
        <w:ind w:hanging="0" w:start="0" w:end="0"/>
        <w:contextualSpacing/>
        <w:jc w:val="both"/>
        <w:rPr>
          <w:sz w:val="20"/>
          <w:szCs w:val="20"/>
        </w:rPr>
      </w:pPr>
      <w:r>
        <w:rPr>
          <w:sz w:val="20"/>
          <w:szCs w:val="20"/>
        </w:rPr>
        <w:t>Признать наиболее выгодные условия поставки товара в заявке ОБЩЕСТВА С ОГРАНИЧЕННОЙ ОТВЕТСТВЕННОСТЬЮ "ЭРГО" ИНН 7810155809 (196006, Российская федерация, Санкт-Петербург, КОЛИ ТОМЧАКА УЛ., д. 28, ЛИТЕР А, КАБИНЕТ 121), которой присвоен первый порядковый номер, на общую сумму 15 192 940,00 руб. (с учетом НДС), в соответствии с Приложением № 1.  </w:t>
      </w:r>
    </w:p>
    <w:p>
      <w:pPr>
        <w:pStyle w:val="Normal"/>
        <w:widowControl w:val="false"/>
        <w:tabs>
          <w:tab w:val="clear" w:pos="708"/>
          <w:tab w:val="left" w:pos="-2835" w:leader="none"/>
          <w:tab w:val="left" w:pos="0" w:leader="none"/>
          <w:tab w:val="left" w:pos="284" w:leader="none"/>
        </w:tabs>
        <w:spacing w:before="120" w:after="0"/>
        <w:contextualSpacing/>
        <w:jc w:val="both"/>
        <w:rPr>
          <w:sz w:val="20"/>
          <w:szCs w:val="20"/>
        </w:rPr>
      </w:pPr>
      <w:r>
        <w:rPr>
          <w:sz w:val="20"/>
          <w:szCs w:val="20"/>
        </w:rPr>
      </w:r>
    </w:p>
    <w:p>
      <w:pPr>
        <w:pStyle w:val="Normal"/>
        <w:widowControl w:val="false"/>
        <w:numPr>
          <w:ilvl w:val="0"/>
          <w:numId w:val="2"/>
        </w:numPr>
        <w:tabs>
          <w:tab w:val="clear" w:pos="708"/>
          <w:tab w:val="left" w:pos="-2835" w:leader="none"/>
          <w:tab w:val="left" w:pos="284" w:leader="none"/>
        </w:tabs>
        <w:spacing w:before="120" w:after="0"/>
        <w:ind w:hanging="0" w:start="0" w:end="0"/>
        <w:contextualSpacing/>
        <w:jc w:val="both"/>
        <w:rPr>
          <w:sz w:val="20"/>
          <w:szCs w:val="20"/>
        </w:rPr>
      </w:pPr>
      <w:r>
        <w:rPr>
          <w:sz w:val="20"/>
          <w:szCs w:val="20"/>
        </w:rPr>
        <w:t>Допускается проведение преддоговорных переговоров с ОБЩЕСТВОМ С ОГРАНИЧЕННОЙ ОТВЕТСТВЕННОСТЬЮ "ЭРГО" с целью уточнения несущественных для заказчика условий договора, а также улучшения технико-коммерческого предложения победителя.</w:t>
      </w:r>
    </w:p>
    <w:p>
      <w:pPr>
        <w:pStyle w:val="Normal"/>
        <w:tabs>
          <w:tab w:val="clear" w:pos="708"/>
          <w:tab w:val="left" w:pos="284" w:leader="none"/>
          <w:tab w:val="left" w:pos="709" w:leader="none"/>
        </w:tabs>
        <w:spacing w:before="120" w:after="0"/>
        <w:contextualSpacing/>
        <w:jc w:val="both"/>
        <w:rPr>
          <w:sz w:val="20"/>
          <w:szCs w:val="20"/>
        </w:rPr>
      </w:pPr>
      <w:r>
        <w:rPr>
          <w:sz w:val="20"/>
          <w:szCs w:val="20"/>
        </w:rPr>
        <w:t>Зафиксировать результат преддоговорных переговоров в окончательных условиях заключаемого договора и заключить договор на условиях, согласованных заказчиком и победителем в рамках проведенных преддоговорных переговоров.</w:t>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r>
    </w:p>
    <w:p>
      <w:pPr>
        <w:pStyle w:val="Normal"/>
        <w:widowControl w:val="false"/>
        <w:spacing w:before="120" w:after="120"/>
        <w:rPr>
          <w:b/>
          <w:sz w:val="20"/>
          <w:szCs w:val="20"/>
        </w:rPr>
      </w:pPr>
      <w:r>
        <w:rPr>
          <w:b/>
          <w:sz w:val="20"/>
          <w:szCs w:val="20"/>
        </w:rPr>
        <w:t>РЕЗУЛЬТАТЫ ГОЛОСОВАНИЯ:</w:t>
      </w:r>
    </w:p>
    <w:p>
      <w:pPr>
        <w:pStyle w:val="Normal"/>
        <w:widowControl w:val="false"/>
        <w:rPr>
          <w:i/>
          <w:i/>
          <w:sz w:val="20"/>
          <w:szCs w:val="20"/>
        </w:rPr>
      </w:pPr>
      <w:r>
        <w:rPr>
          <w:i/>
          <w:sz w:val="20"/>
          <w:szCs w:val="20"/>
        </w:rPr>
        <w:t>«За» 8 членов Комиссии по маркетинговым исследованиям АО «Теплосеть Санкт-Петербурга»</w:t>
      </w:r>
    </w:p>
    <w:p>
      <w:pPr>
        <w:pStyle w:val="Normal"/>
        <w:widowControl w:val="false"/>
        <w:rPr>
          <w:i/>
          <w:i/>
          <w:sz w:val="20"/>
          <w:szCs w:val="20"/>
        </w:rPr>
      </w:pPr>
      <w:r>
        <w:rPr>
          <w:i/>
          <w:sz w:val="20"/>
          <w:szCs w:val="20"/>
        </w:rPr>
        <w:t>«Против» 0 членов Комиссии по маркетинговым исследованиям АО «Теплосеть Санкт-Петербурга»</w:t>
      </w:r>
    </w:p>
    <w:p>
      <w:pPr>
        <w:pStyle w:val="Normal"/>
        <w:widowControl w:val="false"/>
        <w:ind w:end="-143"/>
        <w:rPr>
          <w:i/>
          <w:i/>
          <w:sz w:val="20"/>
          <w:szCs w:val="20"/>
        </w:rPr>
      </w:pPr>
      <w:r>
        <w:rPr>
          <w:i/>
          <w:sz w:val="20"/>
          <w:szCs w:val="20"/>
        </w:rPr>
        <w:t>«Воздержалось» 0 членов Комиссии по маркетинговым исследованиям АО «Теплосеть Санкт-Петербурга»</w:t>
      </w:r>
    </w:p>
    <w:p>
      <w:pPr>
        <w:pStyle w:val="Normal"/>
        <w:widowControl w:val="false"/>
        <w:spacing w:before="120" w:after="120"/>
        <w:jc w:val="both"/>
        <w:rPr>
          <w:b/>
          <w:i/>
          <w:i/>
          <w:sz w:val="20"/>
          <w:szCs w:val="20"/>
        </w:rPr>
      </w:pPr>
      <w:r>
        <w:rPr>
          <w:b/>
          <w:i/>
          <w:sz w:val="20"/>
          <w:szCs w:val="20"/>
        </w:rPr>
      </w:r>
    </w:p>
    <w:p>
      <w:pPr>
        <w:pStyle w:val="Normal"/>
        <w:widowControl w:val="false"/>
        <w:spacing w:before="120" w:after="120"/>
        <w:jc w:val="both"/>
        <w:rPr>
          <w:b/>
          <w:sz w:val="20"/>
          <w:szCs w:val="20"/>
        </w:rPr>
      </w:pPr>
      <w:r>
        <w:rPr>
          <w:b/>
          <w:sz w:val="20"/>
          <w:szCs w:val="20"/>
        </w:rPr>
        <w:t>ПОДПИСИ УЧАСТВУЮЩИХ ЧЛЕНОВ КОМИССИИ ПО МАРКЕТИНГОВЫМ ИССЛЕДОВАНИЯМ АО «ТЕПЛОСЕТЬ САНКТ-ПЕТЕРБУРГА»:</w:t>
      </w:r>
    </w:p>
    <w:p>
      <w:pPr>
        <w:pStyle w:val="Normal"/>
        <w:widowControl w:val="false"/>
        <w:spacing w:before="120" w:after="120"/>
        <w:ind w:end="-285"/>
        <w:rPr/>
      </w:pPr>
      <w:r>
        <w:rPr/>
        <w:t>Заместитель председателя Комиссии по маркетинговым исследованиям АО «Теплосеть Санкт-Петербурга»:</w:t>
      </w:r>
    </w:p>
    <w:tbl>
      <w:tblPr>
        <w:tblW w:w="9747" w:type="dxa"/>
        <w:jc w:val="start"/>
        <w:tblInd w:w="0" w:type="dxa"/>
        <w:tblLayout w:type="fixed"/>
        <w:tblCellMar>
          <w:top w:w="0" w:type="dxa"/>
          <w:start w:w="108" w:type="dxa"/>
          <w:bottom w:w="0" w:type="dxa"/>
          <w:end w:w="108" w:type="dxa"/>
        </w:tblCellMar>
      </w:tblPr>
      <w:tblGrid>
        <w:gridCol w:w="2087"/>
        <w:gridCol w:w="542"/>
        <w:gridCol w:w="1792"/>
        <w:gridCol w:w="2653"/>
        <w:gridCol w:w="2673"/>
      </w:tblGrid>
      <w:tr>
        <w:trPr>
          <w:trHeight w:val="364" w:hRule="atLeast"/>
        </w:trPr>
        <w:tc>
          <w:tcPr>
            <w:tcW w:w="2087" w:type="dxa"/>
            <w:tcBorders/>
          </w:tcPr>
          <w:p>
            <w:pPr>
              <w:pStyle w:val="Normal"/>
              <w:widowControl w:val="false"/>
              <w:snapToGrid w:val="false"/>
              <w:rPr>
                <w:rFonts w:eastAsia="Calibri"/>
                <w:sz w:val="20"/>
                <w:szCs w:val="20"/>
              </w:rPr>
            </w:pPr>
            <w:r>
              <w:rPr>
                <w:rFonts w:eastAsia="Calibri"/>
                <w:sz w:val="20"/>
                <w:szCs w:val="20"/>
              </w:rPr>
            </w:r>
          </w:p>
        </w:tc>
        <w:tc>
          <w:tcPr>
            <w:tcW w:w="542"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92" w:type="dxa"/>
            <w:tcBorders>
              <w:bottom w:val="single" w:sz="4" w:space="0" w:color="000000"/>
            </w:tcBorders>
            <w:vAlign w:val="bottom"/>
          </w:tcPr>
          <w:p>
            <w:pPr>
              <w:pStyle w:val="Normal"/>
              <w:widowControl w:val="false"/>
              <w:snapToGrid w:val="false"/>
              <w:rPr>
                <w:rFonts w:eastAsia="Calibri"/>
                <w:sz w:val="20"/>
                <w:szCs w:val="20"/>
              </w:rPr>
            </w:pPr>
            <w:r>
              <w:rPr>
                <w:rFonts w:eastAsia="Calibri"/>
                <w:sz w:val="20"/>
                <w:szCs w:val="20"/>
              </w:rPr>
            </w:r>
          </w:p>
        </w:tc>
        <w:tc>
          <w:tcPr>
            <w:tcW w:w="2653" w:type="dxa"/>
            <w:tcBorders>
              <w:bottom w:val="single" w:sz="4" w:space="0" w:color="000000"/>
            </w:tcBorders>
            <w:vAlign w:val="bottom"/>
          </w:tcPr>
          <w:p>
            <w:pPr>
              <w:pStyle w:val="Normal"/>
              <w:widowControl w:val="false"/>
              <w:jc w:val="center"/>
              <w:rPr>
                <w:rFonts w:eastAsia="Calibri"/>
                <w:sz w:val="20"/>
                <w:szCs w:val="20"/>
              </w:rPr>
            </w:pPr>
            <w:r>
              <w:rPr>
                <w:rFonts w:eastAsia="Calibri"/>
                <w:sz w:val="20"/>
                <w:szCs w:val="20"/>
              </w:rPr>
              <w:t>за</w:t>
            </w:r>
          </w:p>
        </w:tc>
        <w:tc>
          <w:tcPr>
            <w:tcW w:w="2673" w:type="dxa"/>
            <w:tcBorders>
              <w:bottom w:val="single" w:sz="4" w:space="0" w:color="000000"/>
            </w:tcBorders>
            <w:vAlign w:val="bottom"/>
          </w:tcPr>
          <w:p>
            <w:pPr>
              <w:pStyle w:val="Normal"/>
              <w:widowControl w:val="false"/>
              <w:jc w:val="center"/>
              <w:rPr>
                <w:rFonts w:eastAsia="Calibri"/>
                <w:sz w:val="20"/>
                <w:szCs w:val="20"/>
              </w:rPr>
            </w:pPr>
            <w:r>
              <w:rPr>
                <w:rFonts w:eastAsia="Calibri"/>
                <w:sz w:val="20"/>
                <w:szCs w:val="20"/>
              </w:rPr>
              <w:t>Чистяков С.С.</w:t>
            </w:r>
          </w:p>
        </w:tc>
      </w:tr>
      <w:tr>
        <w:trPr>
          <w:trHeight w:val="150" w:hRule="atLeast"/>
        </w:trPr>
        <w:tc>
          <w:tcPr>
            <w:tcW w:w="2087" w:type="dxa"/>
            <w:tcBorders/>
          </w:tcPr>
          <w:p>
            <w:pPr>
              <w:pStyle w:val="Normal"/>
              <w:widowControl w:val="false"/>
              <w:snapToGrid w:val="false"/>
              <w:rPr>
                <w:rFonts w:eastAsia="Calibri"/>
                <w:sz w:val="20"/>
                <w:szCs w:val="20"/>
              </w:rPr>
            </w:pPr>
            <w:r>
              <w:rPr>
                <w:rFonts w:eastAsia="Calibri"/>
                <w:sz w:val="20"/>
                <w:szCs w:val="20"/>
              </w:rPr>
            </w:r>
          </w:p>
        </w:tc>
        <w:tc>
          <w:tcPr>
            <w:tcW w:w="542" w:type="dxa"/>
            <w:tcBorders/>
          </w:tcPr>
          <w:p>
            <w:pPr>
              <w:pStyle w:val="Normal"/>
              <w:widowControl w:val="false"/>
              <w:snapToGrid w:val="false"/>
              <w:rPr>
                <w:rFonts w:eastAsia="Calibri"/>
                <w:sz w:val="20"/>
                <w:szCs w:val="20"/>
              </w:rPr>
            </w:pPr>
            <w:r>
              <w:rPr>
                <w:rFonts w:eastAsia="Calibri"/>
                <w:sz w:val="20"/>
                <w:szCs w:val="20"/>
              </w:rPr>
            </w:r>
          </w:p>
        </w:tc>
        <w:tc>
          <w:tcPr>
            <w:tcW w:w="1792" w:type="dxa"/>
            <w:tcBorders>
              <w:top w:val="single" w:sz="4" w:space="0" w:color="000000"/>
            </w:tcBorders>
          </w:tcPr>
          <w:p>
            <w:pPr>
              <w:pStyle w:val="Normal"/>
              <w:widowControl w:val="false"/>
              <w:jc w:val="center"/>
              <w:rPr>
                <w:rFonts w:eastAsia="Calibri"/>
                <w:sz w:val="20"/>
                <w:szCs w:val="20"/>
              </w:rPr>
            </w:pPr>
            <w:r>
              <w:rPr>
                <w:rFonts w:eastAsia="Calibri"/>
                <w:sz w:val="20"/>
                <w:szCs w:val="20"/>
              </w:rPr>
              <w:t>(Подпись)</w:t>
            </w:r>
          </w:p>
        </w:tc>
        <w:tc>
          <w:tcPr>
            <w:tcW w:w="2653" w:type="dxa"/>
            <w:tcBorders>
              <w:top w:val="single" w:sz="4" w:space="0" w:color="000000"/>
            </w:tcBorders>
          </w:tcPr>
          <w:p>
            <w:pPr>
              <w:pStyle w:val="Normal"/>
              <w:widowControl w:val="false"/>
              <w:jc w:val="center"/>
              <w:rPr>
                <w:rFonts w:eastAsia="Calibri"/>
                <w:sz w:val="20"/>
                <w:szCs w:val="20"/>
              </w:rPr>
            </w:pPr>
            <w:r>
              <w:rPr>
                <w:i/>
                <w:sz w:val="20"/>
                <w:szCs w:val="20"/>
              </w:rPr>
              <w:t>за/против/воздержался</w:t>
            </w:r>
          </w:p>
        </w:tc>
        <w:tc>
          <w:tcPr>
            <w:tcW w:w="2673" w:type="dxa"/>
            <w:tcBorders>
              <w:top w:val="single" w:sz="4" w:space="0" w:color="000000"/>
            </w:tcBorders>
          </w:tcPr>
          <w:p>
            <w:pPr>
              <w:pStyle w:val="Normal"/>
              <w:widowControl w:val="false"/>
              <w:jc w:val="center"/>
              <w:rPr>
                <w:rFonts w:eastAsia="Calibri"/>
                <w:sz w:val="20"/>
                <w:szCs w:val="20"/>
              </w:rPr>
            </w:pPr>
            <w:r>
              <w:rPr>
                <w:rFonts w:eastAsia="Calibri"/>
                <w:sz w:val="20"/>
                <w:szCs w:val="20"/>
              </w:rPr>
              <w:t>(Фамилия И.О.)</w:t>
            </w:r>
          </w:p>
        </w:tc>
      </w:tr>
    </w:tbl>
    <w:p>
      <w:pPr>
        <w:pStyle w:val="Normal"/>
        <w:widowControl w:val="false"/>
        <w:spacing w:before="120" w:after="120"/>
        <w:jc w:val="both"/>
        <w:rPr/>
      </w:pPr>
      <w:r>
        <w:rPr/>
        <w:t>Члены Комиссии по маркетинговым исследованиям АО «Теплосеть Санкт-Петербурга»:</w:t>
      </w:r>
    </w:p>
    <w:tbl>
      <w:tblPr>
        <w:tblW w:w="9747" w:type="dxa"/>
        <w:jc w:val="start"/>
        <w:tblInd w:w="0" w:type="dxa"/>
        <w:tblLayout w:type="fixed"/>
        <w:tblCellMar>
          <w:top w:w="0" w:type="dxa"/>
          <w:start w:w="108" w:type="dxa"/>
          <w:bottom w:w="0" w:type="dxa"/>
          <w:end w:w="108" w:type="dxa"/>
        </w:tblCellMar>
      </w:tblPr>
      <w:tblGrid>
        <w:gridCol w:w="1978"/>
        <w:gridCol w:w="523"/>
        <w:gridCol w:w="1758"/>
        <w:gridCol w:w="2856"/>
        <w:gridCol w:w="2632"/>
      </w:tblGrid>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Буряк И.Н.</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Кузнецов Д.Э.</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Медведева Н.Л.</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Пахунов Е.М.</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Пуговкин В.М.</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Северовостоков В.В.</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numPr>
                <w:ilvl w:val="0"/>
                <w:numId w:val="5"/>
              </w:numPr>
              <w:tabs>
                <w:tab w:val="clear" w:pos="708"/>
                <w:tab w:val="left" w:pos="432" w:leader="none"/>
              </w:tabs>
              <w:snapToGrid w:val="false"/>
              <w:ind w:hanging="360" w:start="432" w:end="0"/>
              <w:jc w:val="center"/>
              <w:rPr>
                <w:rFonts w:eastAsia="Calibri"/>
                <w:sz w:val="20"/>
                <w:szCs w:val="20"/>
              </w:rPr>
            </w:pPr>
            <w:r>
              <w:rPr>
                <w:rFonts w:eastAsia="Calibri"/>
                <w:sz w:val="20"/>
                <w:szCs w:val="20"/>
              </w:rPr>
            </w:r>
          </w:p>
        </w:tc>
        <w:tc>
          <w:tcPr>
            <w:tcW w:w="1758" w:type="dxa"/>
            <w:tcBorders/>
          </w:tcPr>
          <w:p>
            <w:pPr>
              <w:pStyle w:val="Normal"/>
              <w:widowControl w:val="false"/>
              <w:snapToGrid w:val="false"/>
              <w:jc w:val="center"/>
              <w:rPr>
                <w:rFonts w:eastAsia="Calibri"/>
                <w:sz w:val="20"/>
                <w:szCs w:val="20"/>
              </w:rPr>
            </w:pPr>
            <w:r>
              <w:rPr>
                <w:rFonts w:eastAsia="Calibri"/>
                <w:sz w:val="20"/>
                <w:szCs w:val="20"/>
              </w:rPr>
            </w:r>
          </w:p>
        </w:tc>
        <w:tc>
          <w:tcPr>
            <w:tcW w:w="2856" w:type="dxa"/>
            <w:tcBorders/>
          </w:tcPr>
          <w:p>
            <w:pPr>
              <w:pStyle w:val="Normal"/>
              <w:widowControl w:val="false"/>
              <w:jc w:val="center"/>
              <w:rPr>
                <w:rFonts w:eastAsia="Calibri"/>
                <w:sz w:val="20"/>
                <w:szCs w:val="20"/>
              </w:rPr>
            </w:pPr>
            <w:r>
              <w:rPr>
                <w:rFonts w:eastAsia="Calibri"/>
                <w:sz w:val="20"/>
                <w:szCs w:val="20"/>
              </w:rPr>
              <w:t>за</w:t>
            </w:r>
          </w:p>
        </w:tc>
        <w:tc>
          <w:tcPr>
            <w:tcW w:w="2632" w:type="dxa"/>
            <w:tcBorders/>
          </w:tcPr>
          <w:p>
            <w:pPr>
              <w:pStyle w:val="Normal"/>
              <w:widowControl w:val="false"/>
              <w:jc w:val="center"/>
              <w:rPr>
                <w:rFonts w:eastAsia="Calibri"/>
                <w:sz w:val="20"/>
                <w:szCs w:val="20"/>
              </w:rPr>
            </w:pPr>
            <w:r>
              <w:rPr>
                <w:rFonts w:eastAsia="Calibri"/>
                <w:sz w:val="20"/>
                <w:szCs w:val="20"/>
              </w:rPr>
              <w:t>Фомичев А.С.</w:t>
            </w:r>
          </w:p>
        </w:tc>
      </w:tr>
      <w:tr>
        <w:trPr>
          <w:trHeight w:val="150" w:hRule="atLeast"/>
        </w:trPr>
        <w:tc>
          <w:tcPr>
            <w:tcW w:w="1978" w:type="dxa"/>
            <w:tcBorders/>
          </w:tcPr>
          <w:p>
            <w:pPr>
              <w:pStyle w:val="Normal"/>
              <w:widowControl w:val="false"/>
              <w:snapToGrid w:val="false"/>
              <w:rPr>
                <w:rFonts w:eastAsia="Calibri"/>
                <w:sz w:val="20"/>
                <w:szCs w:val="20"/>
              </w:rPr>
            </w:pPr>
            <w:r>
              <w:rPr>
                <w:rFonts w:eastAsia="Calibri"/>
                <w:sz w:val="20"/>
                <w:szCs w:val="20"/>
              </w:rPr>
            </w:r>
          </w:p>
        </w:tc>
        <w:tc>
          <w:tcPr>
            <w:tcW w:w="523" w:type="dxa"/>
            <w:tcBorders/>
          </w:tcPr>
          <w:p>
            <w:pPr>
              <w:pStyle w:val="Normal"/>
              <w:widowControl w:val="false"/>
              <w:snapToGrid w:val="false"/>
              <w:ind w:start="432" w:end="0"/>
              <w:rPr>
                <w:rFonts w:eastAsia="Calibri"/>
                <w:sz w:val="20"/>
                <w:szCs w:val="20"/>
              </w:rPr>
            </w:pPr>
            <w:r>
              <w:rPr>
                <w:rFonts w:eastAsia="Calibri"/>
                <w:sz w:val="20"/>
                <w:szCs w:val="20"/>
              </w:rPr>
            </w:r>
          </w:p>
        </w:tc>
        <w:tc>
          <w:tcPr>
            <w:tcW w:w="1758" w:type="dxa"/>
            <w:tcBorders/>
          </w:tcPr>
          <w:p>
            <w:pPr>
              <w:pStyle w:val="Normal"/>
              <w:widowControl w:val="false"/>
              <w:jc w:val="center"/>
              <w:rPr>
                <w:rFonts w:eastAsia="Calibri"/>
                <w:sz w:val="20"/>
                <w:szCs w:val="20"/>
              </w:rPr>
            </w:pPr>
            <w:r>
              <w:rPr>
                <w:rFonts w:eastAsia="Calibri"/>
                <w:sz w:val="20"/>
                <w:szCs w:val="20"/>
              </w:rPr>
              <w:t>(Подпись)</w:t>
            </w:r>
          </w:p>
        </w:tc>
        <w:tc>
          <w:tcPr>
            <w:tcW w:w="2856" w:type="dxa"/>
            <w:tcBorders/>
          </w:tcPr>
          <w:p>
            <w:pPr>
              <w:pStyle w:val="Normal"/>
              <w:widowControl w:val="false"/>
              <w:jc w:val="center"/>
              <w:rPr>
                <w:rFonts w:eastAsia="Calibri"/>
                <w:sz w:val="20"/>
                <w:szCs w:val="20"/>
              </w:rPr>
            </w:pPr>
            <w:r>
              <w:rPr>
                <w:i/>
                <w:sz w:val="20"/>
                <w:szCs w:val="20"/>
              </w:rPr>
              <w:t>за/против/воздержался</w:t>
            </w:r>
          </w:p>
        </w:tc>
        <w:tc>
          <w:tcPr>
            <w:tcW w:w="2632" w:type="dxa"/>
            <w:tcBorders/>
          </w:tcPr>
          <w:p>
            <w:pPr>
              <w:pStyle w:val="Normal"/>
              <w:widowControl w:val="false"/>
              <w:jc w:val="center"/>
              <w:rPr>
                <w:rFonts w:eastAsia="Calibri"/>
                <w:sz w:val="20"/>
                <w:szCs w:val="20"/>
              </w:rPr>
            </w:pPr>
            <w:r>
              <w:rPr>
                <w:rFonts w:eastAsia="Calibri"/>
                <w:sz w:val="20"/>
                <w:szCs w:val="20"/>
              </w:rPr>
              <w:t>(Фамилия И.О.)</w:t>
            </w:r>
          </w:p>
        </w:tc>
      </w:tr>
    </w:tbl>
    <w:p>
      <w:pPr>
        <w:sectPr>
          <w:footerReference w:type="default" r:id="rId2"/>
          <w:footerReference w:type="first" r:id="rId3"/>
          <w:type w:val="nextPage"/>
          <w:pgSz w:w="11906" w:h="16838"/>
          <w:pgMar w:left="1276" w:right="849" w:gutter="0" w:header="0" w:top="426" w:footer="709" w:bottom="765"/>
          <w:pgNumType w:fmt="decimal"/>
          <w:formProt w:val="false"/>
          <w:titlePg/>
          <w:textDirection w:val="lrTb"/>
          <w:docGrid w:type="default" w:linePitch="360" w:charSpace="0"/>
        </w:sectPr>
      </w:pPr>
    </w:p>
    <w:p>
      <w:pPr>
        <w:pStyle w:val="Normal"/>
        <w:widowControl w:val="false"/>
        <w:spacing w:before="120" w:after="120"/>
        <w:ind w:end="522"/>
        <w:jc w:val="end"/>
        <w:rPr>
          <w:b/>
          <w:sz w:val="20"/>
          <w:szCs w:val="20"/>
        </w:rPr>
      </w:pPr>
      <w:r>
        <w:rPr>
          <w:b/>
          <w:sz w:val="20"/>
          <w:szCs w:val="20"/>
        </w:rPr>
        <w:t>Приложение № 1 к протоколу от «12» декабря 2025 года № 32515444889_1</w:t>
      </w:r>
    </w:p>
    <w:p>
      <w:pPr>
        <w:pStyle w:val="Normal"/>
        <w:widowControl w:val="false"/>
        <w:spacing w:before="120" w:after="120"/>
        <w:ind w:end="522"/>
        <w:jc w:val="end"/>
        <w:rPr>
          <w:b/>
          <w:sz w:val="20"/>
          <w:szCs w:val="20"/>
        </w:rPr>
      </w:pPr>
      <w:r>
        <w:rPr>
          <w:b/>
          <w:sz w:val="20"/>
          <w:szCs w:val="20"/>
        </w:rPr>
      </w:r>
    </w:p>
    <w:tbl>
      <w:tblPr>
        <w:tblW w:w="4750" w:type="pct"/>
        <w:jc w:val="start"/>
        <w:tblInd w:w="0" w:type="dxa"/>
        <w:tblLayout w:type="fixed"/>
        <w:tblCellMar>
          <w:top w:w="0" w:type="dxa"/>
          <w:start w:w="108" w:type="dxa"/>
          <w:bottom w:w="0" w:type="dxa"/>
          <w:end w:w="108" w:type="dxa"/>
        </w:tblCellMar>
      </w:tblPr>
      <w:tblGrid>
        <w:gridCol w:w="3717"/>
        <w:gridCol w:w="2509"/>
        <w:gridCol w:w="2366"/>
        <w:gridCol w:w="2647"/>
        <w:gridCol w:w="3255"/>
        <w:gridCol w:w="6"/>
      </w:tblGrid>
      <w:tr>
        <w:trPr>
          <w:trHeight w:val="428" w:hRule="atLeast"/>
        </w:trPr>
        <w:tc>
          <w:tcPr>
            <w:tcW w:w="14500" w:type="dxa"/>
            <w:gridSpan w:val="5"/>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0"/>
                <w:szCs w:val="20"/>
              </w:rPr>
            </w:pPr>
            <w:r>
              <w:rPr>
                <w:b/>
                <w:color w:val="000000"/>
                <w:sz w:val="20"/>
                <w:szCs w:val="20"/>
              </w:rPr>
              <w:t>Сводное заключение Экспертного совета по рассмотрению заявок и подведению итогов открытых маркетинговых исследований</w:t>
            </w:r>
          </w:p>
        </w:tc>
      </w:tr>
      <w:tr>
        <w:trPr>
          <w:trHeight w:val="390"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Принципал</w:t>
            </w:r>
          </w:p>
        </w:tc>
        <w:tc>
          <w:tcPr>
            <w:tcW w:w="1077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АО «Теплосеть Санкт-Петербурга»</w:t>
            </w:r>
          </w:p>
        </w:tc>
      </w:tr>
      <w:tr>
        <w:trPr>
          <w:trHeight w:val="371"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Наименование закупки</w:t>
            </w:r>
          </w:p>
        </w:tc>
        <w:tc>
          <w:tcPr>
            <w:tcW w:w="1077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Поставка щебня гранитного фр. 20-40 (4444/2.1.1-227)</w:t>
            </w:r>
          </w:p>
        </w:tc>
      </w:tr>
      <w:tr>
        <w:trPr>
          <w:trHeight w:val="263"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Номер закупки в ЕИС</w:t>
            </w:r>
          </w:p>
        </w:tc>
        <w:tc>
          <w:tcPr>
            <w:tcW w:w="1077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32515444889</w:t>
            </w:r>
          </w:p>
        </w:tc>
      </w:tr>
      <w:tr>
        <w:trPr>
          <w:trHeight w:val="505"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Способ закупки</w:t>
            </w:r>
          </w:p>
        </w:tc>
        <w:tc>
          <w:tcPr>
            <w:tcW w:w="1077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Открытые маркетинговые исследования в электронной форме, участниками которых могут быть только субъекты малого и среднего предпринимательства</w:t>
            </w:r>
          </w:p>
        </w:tc>
      </w:tr>
      <w:tr>
        <w:trPr>
          <w:trHeight w:val="245"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rPr>
                <w:b/>
                <w:bCs/>
                <w:color w:val="000000"/>
                <w:sz w:val="20"/>
                <w:szCs w:val="20"/>
              </w:rPr>
            </w:pPr>
            <w:r>
              <w:rPr>
                <w:b/>
                <w:bCs/>
                <w:color w:val="000000"/>
                <w:sz w:val="20"/>
                <w:szCs w:val="20"/>
              </w:rPr>
              <w:t>НМЦД, руб. (с НДС)</w:t>
            </w:r>
          </w:p>
        </w:tc>
        <w:tc>
          <w:tcPr>
            <w:tcW w:w="1077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szCs w:val="20"/>
              </w:rPr>
            </w:pPr>
            <w:r>
              <w:rPr>
                <w:color w:val="000000"/>
                <w:sz w:val="20"/>
                <w:szCs w:val="20"/>
              </w:rPr>
              <w:t>21 998 673,20</w:t>
            </w:r>
          </w:p>
        </w:tc>
      </w:tr>
      <w:tr>
        <w:trPr>
          <w:trHeight w:val="240"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color w:val="000000"/>
                <w:sz w:val="20"/>
                <w:szCs w:val="20"/>
              </w:rPr>
            </w:pPr>
            <w:r>
              <w:rPr>
                <w:color w:val="000000"/>
                <w:sz w:val="20"/>
                <w:szCs w:val="20"/>
              </w:rPr>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color w:val="000000"/>
                <w:sz w:val="20"/>
                <w:szCs w:val="20"/>
              </w:rPr>
            </w:pPr>
            <w:r>
              <w:rPr>
                <w:color w:val="000000"/>
                <w:sz w:val="20"/>
                <w:szCs w:val="20"/>
              </w:rPr>
            </w:r>
          </w:p>
        </w:tc>
        <w:tc>
          <w:tcPr>
            <w:tcW w:w="236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5902"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r>
      <w:tr>
        <w:trPr>
          <w:trHeight w:val="600"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Наименование участника процедуры</w:t>
            </w:r>
          </w:p>
        </w:tc>
        <w:tc>
          <w:tcPr>
            <w:tcW w:w="2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Ценовое предложение единицы товара с НДС, руб.</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Отклонение или допуск</w:t>
            </w:r>
          </w:p>
        </w:tc>
        <w:tc>
          <w:tcPr>
            <w:tcW w:w="59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Комментарий</w:t>
            </w:r>
          </w:p>
        </w:tc>
      </w:tr>
      <w:tr>
        <w:trPr>
          <w:trHeight w:val="1762" w:hRule="atLeast"/>
        </w:trPr>
        <w:tc>
          <w:tcPr>
            <w:tcW w:w="371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Участник 5586 ООО "ГАЗКОМПЛЕКТ СЕВЕРО-ЗАПАД" ИНН 7802841427</w:t>
            </w:r>
          </w:p>
        </w:tc>
        <w:tc>
          <w:tcPr>
            <w:tcW w:w="2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 </w:t>
            </w:r>
          </w:p>
        </w:tc>
        <w:tc>
          <w:tcPr>
            <w:tcW w:w="236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Отклонение</w:t>
            </w:r>
          </w:p>
        </w:tc>
        <w:tc>
          <w:tcPr>
            <w:tcW w:w="590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 xml:space="preserve">Участник в Форме 5 и в Форме 6 не указал номер реестровой записи, не приложил выписку из реестра, у остальных участников закупки реестровые номера предоставлены, заявка не соответствует требованиям п.п. 1.4.4.2. </w:t>
            </w:r>
            <w:r>
              <w:rPr>
                <w:b/>
                <w:bCs/>
                <w:color w:val="000000"/>
                <w:sz w:val="20"/>
                <w:szCs w:val="20"/>
              </w:rPr>
              <w:t xml:space="preserve">Заявка отклонена на основании п. 2.6.6. Документации, а также согласно Постановлению Правительства РФ от 23.12.2024 № 1875 ввиду установления ограничения закупки иностранной продукции. </w:t>
            </w:r>
          </w:p>
        </w:tc>
      </w:tr>
      <w:tr>
        <w:trPr>
          <w:trHeight w:val="1122" w:hRule="atLeast"/>
        </w:trPr>
        <w:tc>
          <w:tcPr>
            <w:tcW w:w="371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Участник 9948 ООО "ДК Северо-Запад" ИНН 4704119200</w:t>
            </w:r>
          </w:p>
        </w:tc>
        <w:tc>
          <w:tcPr>
            <w:tcW w:w="2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FF0000"/>
                <w:sz w:val="20"/>
                <w:szCs w:val="20"/>
              </w:rPr>
            </w:pPr>
            <w:r>
              <w:rPr>
                <w:color w:val="FF0000"/>
                <w:sz w:val="20"/>
                <w:szCs w:val="20"/>
              </w:rPr>
              <w:t> </w:t>
            </w:r>
          </w:p>
        </w:tc>
        <w:tc>
          <w:tcPr>
            <w:tcW w:w="236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Отклонение</w:t>
            </w:r>
          </w:p>
        </w:tc>
        <w:tc>
          <w:tcPr>
            <w:tcW w:w="590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sz w:val="20"/>
                <w:szCs w:val="20"/>
              </w:rPr>
            </w:pPr>
            <w:r>
              <w:rPr>
                <w:sz w:val="20"/>
                <w:szCs w:val="20"/>
              </w:rPr>
              <w:t xml:space="preserve">Участник в составе заявки приложил документы, относящиеся к другой закупке (Письмо о подаче заявки-оферты, Форма 6 Ценовое предложение). </w:t>
              <w:br/>
            </w:r>
            <w:r>
              <w:rPr>
                <w:b/>
                <w:bCs/>
                <w:sz w:val="20"/>
                <w:szCs w:val="20"/>
              </w:rPr>
              <w:t xml:space="preserve">Заявка отклонена на основании п.2.6.6. Документации. </w:t>
            </w:r>
          </w:p>
        </w:tc>
      </w:tr>
      <w:tr>
        <w:trPr>
          <w:trHeight w:val="1818" w:hRule="atLeast"/>
        </w:trPr>
        <w:tc>
          <w:tcPr>
            <w:tcW w:w="371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color w:val="000000"/>
                <w:sz w:val="20"/>
                <w:szCs w:val="20"/>
              </w:rPr>
              <w:t xml:space="preserve">Участник 4794 ООО "ПРАЙД" </w:t>
              <w:br/>
              <w:t>ИНН 7802675096</w:t>
            </w:r>
          </w:p>
        </w:tc>
        <w:tc>
          <w:tcPr>
            <w:tcW w:w="2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21 998 673,20</w:t>
            </w:r>
          </w:p>
        </w:tc>
        <w:tc>
          <w:tcPr>
            <w:tcW w:w="236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Допуск</w:t>
            </w:r>
          </w:p>
        </w:tc>
        <w:tc>
          <w:tcPr>
            <w:tcW w:w="590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b/>
                <w:bCs/>
                <w:color w:val="000000"/>
                <w:sz w:val="20"/>
                <w:szCs w:val="20"/>
              </w:rPr>
              <w:t>Снижение на 0,00%</w:t>
            </w:r>
            <w:r>
              <w:rPr>
                <w:color w:val="000000"/>
                <w:sz w:val="20"/>
                <w:szCs w:val="20"/>
              </w:rPr>
              <w:br/>
            </w:r>
            <w:r>
              <w:rPr>
                <w:sz w:val="20"/>
                <w:szCs w:val="20"/>
              </w:rPr>
              <w:t>По форме 7.4.6 участник предоставил 14 договоров. В результате экспертизы 5 договоров (за 2025г.) не учтены, так как договоры исполнены вне оцениваемого периода</w:t>
            </w:r>
            <w:r>
              <w:rPr>
                <w:color w:val="00B050"/>
                <w:sz w:val="20"/>
                <w:szCs w:val="20"/>
              </w:rPr>
              <w:t>.</w:t>
            </w:r>
            <w:r>
              <w:rPr>
                <w:color w:val="000000"/>
                <w:sz w:val="20"/>
                <w:szCs w:val="20"/>
              </w:rPr>
              <w:t xml:space="preserve"> 5 договоров (за 2022г.: п.2; за 2023г.: п.2,3; за 2024г.: п.3, п.4) не учтены, так как поставленный товар не соответствует предмету закупки. </w:t>
            </w:r>
            <w:r>
              <w:rPr>
                <w:b/>
                <w:bCs/>
                <w:color w:val="000000"/>
                <w:sz w:val="20"/>
                <w:szCs w:val="20"/>
              </w:rPr>
              <w:t>Всего учтено 4 договора на общую сумму 138 719 000,00 руб.</w:t>
            </w:r>
          </w:p>
        </w:tc>
      </w:tr>
      <w:tr>
        <w:trPr>
          <w:trHeight w:val="843" w:hRule="atLeast"/>
        </w:trPr>
        <w:tc>
          <w:tcPr>
            <w:tcW w:w="3717"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color w:val="000000"/>
                <w:sz w:val="20"/>
                <w:szCs w:val="20"/>
              </w:rPr>
              <w:t xml:space="preserve">Участник 8340 ООО "ЭРГО" </w:t>
              <w:br/>
              <w:t>ИНН 7810155809</w:t>
            </w:r>
          </w:p>
        </w:tc>
        <w:tc>
          <w:tcPr>
            <w:tcW w:w="250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15 192 940,00</w:t>
            </w:r>
          </w:p>
        </w:tc>
        <w:tc>
          <w:tcPr>
            <w:tcW w:w="2366"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color w:val="000000"/>
                <w:sz w:val="20"/>
                <w:szCs w:val="20"/>
              </w:rPr>
            </w:pPr>
            <w:r>
              <w:rPr>
                <w:color w:val="000000"/>
                <w:sz w:val="20"/>
                <w:szCs w:val="20"/>
              </w:rPr>
              <w:t>Допуск</w:t>
            </w:r>
          </w:p>
        </w:tc>
        <w:tc>
          <w:tcPr>
            <w:tcW w:w="590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pPr>
            <w:r>
              <w:rPr>
                <w:b/>
                <w:bCs/>
                <w:color w:val="000000"/>
                <w:sz w:val="20"/>
                <w:szCs w:val="20"/>
              </w:rPr>
              <w:t>Снижение на 30,94%</w:t>
            </w:r>
            <w:r>
              <w:rPr>
                <w:color w:val="000000"/>
                <w:sz w:val="20"/>
                <w:szCs w:val="20"/>
              </w:rPr>
              <w:br/>
              <w:t xml:space="preserve">По форме 7.4.6 участник предоставил 3 договора. В результате экспертизы договоры по п.1,2,3 учтены в объеме подтверждающих документов, соответствующем номенклатуре закупки. </w:t>
            </w:r>
            <w:r>
              <w:rPr>
                <w:b/>
                <w:bCs/>
                <w:color w:val="000000"/>
                <w:sz w:val="20"/>
                <w:szCs w:val="20"/>
              </w:rPr>
              <w:t xml:space="preserve">Всего учтено 3 договора на сумму 158 082 086,30 руб. </w:t>
            </w:r>
            <w:r>
              <w:rPr>
                <w:color w:val="000000"/>
                <w:sz w:val="20"/>
                <w:szCs w:val="20"/>
              </w:rPr>
              <w:t xml:space="preserve"> </w:t>
            </w:r>
          </w:p>
        </w:tc>
      </w:tr>
      <w:tr>
        <w:trPr>
          <w:trHeight w:val="1126"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color w:val="000000"/>
                <w:sz w:val="20"/>
                <w:szCs w:val="20"/>
              </w:rPr>
              <w:t xml:space="preserve">Участник 2804 ООО "ТД "Ингмар" </w:t>
              <w:br/>
              <w:t>ИНН 7806260663</w:t>
            </w:r>
          </w:p>
        </w:tc>
        <w:tc>
          <w:tcPr>
            <w:tcW w:w="2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17 891 300,00</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Допуск</w:t>
            </w:r>
          </w:p>
        </w:tc>
        <w:tc>
          <w:tcPr>
            <w:tcW w:w="590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b/>
                <w:bCs/>
                <w:color w:val="000000"/>
                <w:sz w:val="20"/>
                <w:szCs w:val="20"/>
              </w:rPr>
              <w:t>Снижение на 18,67%.</w:t>
            </w:r>
            <w:r>
              <w:rPr>
                <w:color w:val="000000"/>
                <w:sz w:val="20"/>
                <w:szCs w:val="20"/>
              </w:rPr>
              <w:br/>
              <w:t>По форме 7.4.6 участник предоставил 17 договоров. В результате экспертизы договоры по п.1 не учтен, так как договор исполнен вне оцениваемого периода. Договоры по п.5,8,11 не учтены, так как поставленный товар не соответствует предмету закупки. Договоры по п.2,3,4,12,13,14 учтены в объеме подтверждающих документов, соответствующем номенклатуре закупки.</w:t>
            </w:r>
            <w:r>
              <w:rPr>
                <w:b/>
                <w:bCs/>
                <w:color w:val="000000"/>
                <w:sz w:val="20"/>
                <w:szCs w:val="20"/>
              </w:rPr>
              <w:t xml:space="preserve"> Всего учтено 13 договоров  на общую сумму 288 386 828,33 руб.</w:t>
            </w:r>
          </w:p>
        </w:tc>
      </w:tr>
      <w:tr>
        <w:trPr>
          <w:trHeight w:val="383"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jc w:val="center"/>
              <w:rPr>
                <w:color w:val="000000"/>
                <w:sz w:val="20"/>
                <w:szCs w:val="20"/>
              </w:rPr>
            </w:pPr>
            <w:r>
              <w:rPr>
                <w:color w:val="000000"/>
                <w:sz w:val="20"/>
                <w:szCs w:val="20"/>
              </w:rPr>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color w:val="000000"/>
                <w:sz w:val="20"/>
                <w:szCs w:val="20"/>
              </w:rPr>
            </w:pPr>
            <w:r>
              <w:rPr>
                <w:color w:val="000000"/>
                <w:sz w:val="20"/>
                <w:szCs w:val="20"/>
              </w:rPr>
            </w:r>
          </w:p>
        </w:tc>
        <w:tc>
          <w:tcPr>
            <w:tcW w:w="236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5902" w:type="dxa"/>
            <w:gridSpan w:val="2"/>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r>
      <w:tr>
        <w:trPr>
          <w:trHeight w:val="375"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sz w:val="20"/>
                <w:szCs w:val="20"/>
              </w:rPr>
            </w:pPr>
            <w:r>
              <w:rPr>
                <w:sz w:val="20"/>
                <w:szCs w:val="20"/>
              </w:rPr>
            </w:r>
          </w:p>
        </w:tc>
        <w:tc>
          <w:tcPr>
            <w:tcW w:w="8268" w:type="dxa"/>
            <w:gridSpan w:val="3"/>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0"/>
                <w:szCs w:val="20"/>
              </w:rPr>
            </w:pPr>
            <w:r>
              <w:rPr>
                <w:color w:val="000000"/>
                <w:sz w:val="20"/>
                <w:szCs w:val="20"/>
              </w:rPr>
              <w:t>Баллы участников</w:t>
            </w:r>
          </w:p>
        </w:tc>
      </w:tr>
      <w:tr>
        <w:trPr>
          <w:trHeight w:val="766"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Наименование критерия</w:t>
            </w:r>
          </w:p>
        </w:tc>
        <w:tc>
          <w:tcPr>
            <w:tcW w:w="2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Коэффициент значимости показателя критерия</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Участник 4794 ООО "ПРАЙД" ИНН 7802675096</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Участник 8340 ООО "ЭРГО" ИНН 7810155809</w:t>
            </w:r>
          </w:p>
        </w:tc>
        <w:tc>
          <w:tcPr>
            <w:tcW w:w="32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Участник 2804 ООО "ТД "Ингмар" ИНН 7806260663</w:t>
            </w:r>
          </w:p>
        </w:tc>
      </w:tr>
      <w:tr>
        <w:trPr>
          <w:trHeight w:val="450"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both"/>
              <w:rPr>
                <w:color w:val="000000"/>
                <w:sz w:val="20"/>
                <w:szCs w:val="20"/>
              </w:rPr>
            </w:pPr>
            <w:r>
              <w:rPr>
                <w:color w:val="000000"/>
                <w:sz w:val="20"/>
                <w:szCs w:val="20"/>
              </w:rPr>
              <w:t>1. Цена договора</w:t>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jc w:val="center"/>
              <w:rPr>
                <w:b/>
                <w:bCs/>
                <w:color w:val="000000"/>
                <w:sz w:val="20"/>
                <w:szCs w:val="20"/>
              </w:rPr>
            </w:pPr>
            <w:r>
              <w:rPr>
                <w:b/>
                <w:bCs/>
                <w:color w:val="000000"/>
                <w:sz w:val="20"/>
                <w:szCs w:val="20"/>
              </w:rPr>
              <w:t>0,85</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58,70</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85</w:t>
            </w:r>
          </w:p>
        </w:tc>
        <w:tc>
          <w:tcPr>
            <w:tcW w:w="32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72,18</w:t>
            </w:r>
          </w:p>
        </w:tc>
      </w:tr>
      <w:tr>
        <w:trPr>
          <w:trHeight w:val="435"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both"/>
              <w:rPr>
                <w:color w:val="000000"/>
                <w:sz w:val="20"/>
                <w:szCs w:val="20"/>
              </w:rPr>
            </w:pPr>
            <w:r>
              <w:rPr>
                <w:color w:val="000000"/>
                <w:sz w:val="20"/>
                <w:szCs w:val="20"/>
              </w:rPr>
              <w:t>2. Квалификация участников</w:t>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jc w:val="center"/>
              <w:rPr>
                <w:b/>
                <w:bCs/>
                <w:color w:val="000000"/>
                <w:sz w:val="20"/>
                <w:szCs w:val="20"/>
              </w:rPr>
            </w:pPr>
            <w:r>
              <w:rPr>
                <w:b/>
                <w:bCs/>
                <w:color w:val="000000"/>
                <w:sz w:val="20"/>
                <w:szCs w:val="20"/>
              </w:rPr>
              <w:t>0,15</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7,22</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8,22</w:t>
            </w:r>
          </w:p>
        </w:tc>
        <w:tc>
          <w:tcPr>
            <w:tcW w:w="3255" w:type="dxa"/>
            <w:tcBorders>
              <w:top w:val="single" w:sz="4" w:space="0" w:color="000000"/>
              <w:start w:val="single" w:sz="4" w:space="0" w:color="000000"/>
              <w:bottom w:val="single" w:sz="4" w:space="0" w:color="000000"/>
              <w:end w:val="single" w:sz="4" w:space="0" w:color="000000"/>
            </w:tcBorders>
            <w:vAlign w:val="bottom"/>
          </w:tcPr>
          <w:p>
            <w:pPr>
              <w:pStyle w:val="Normal"/>
              <w:jc w:val="center"/>
              <w:rPr>
                <w:b/>
                <w:bCs/>
                <w:color w:val="000000"/>
                <w:sz w:val="20"/>
                <w:szCs w:val="20"/>
              </w:rPr>
            </w:pPr>
            <w:r>
              <w:rPr>
                <w:b/>
                <w:bCs/>
                <w:color w:val="000000"/>
                <w:sz w:val="20"/>
                <w:szCs w:val="20"/>
              </w:rPr>
              <w:t>15,00</w:t>
            </w:r>
          </w:p>
        </w:tc>
      </w:tr>
      <w:tr>
        <w:trPr>
          <w:trHeight w:val="1440" w:hRule="atLeast"/>
        </w:trPr>
        <w:tc>
          <w:tcPr>
            <w:tcW w:w="3717" w:type="dxa"/>
            <w:tcBorders>
              <w:top w:val="single" w:sz="4" w:space="0" w:color="000000"/>
              <w:start w:val="single" w:sz="4" w:space="0" w:color="000000"/>
              <w:bottom w:val="single" w:sz="4" w:space="0" w:color="000000"/>
              <w:end w:val="single" w:sz="4" w:space="0" w:color="000000"/>
            </w:tcBorders>
            <w:vAlign w:val="center"/>
          </w:tcPr>
          <w:p>
            <w:pPr>
              <w:pStyle w:val="Normal"/>
              <w:jc w:val="both"/>
              <w:rPr>
                <w:i/>
                <w:i/>
                <w:iCs/>
                <w:color w:val="000000"/>
                <w:sz w:val="20"/>
                <w:szCs w:val="20"/>
              </w:rPr>
            </w:pPr>
            <w:r>
              <w:rPr>
                <w:i/>
                <w:iCs/>
                <w:color w:val="000000"/>
                <w:sz w:val="20"/>
                <w:szCs w:val="20"/>
              </w:rPr>
              <w:t>2.1 Опыт поставки товаров, аналогичных предмету закупки, за 2022-2024 гг.</w:t>
              <w:br/>
              <w:t>(подтверждается предоставлением формы № 7.4.6, копиями Договоров, товарных накладных или других документов, подтверждающих факт поставки)</w:t>
            </w:r>
          </w:p>
        </w:tc>
        <w:tc>
          <w:tcPr>
            <w:tcW w:w="25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color w:val="000000"/>
                <w:sz w:val="20"/>
                <w:szCs w:val="20"/>
              </w:rPr>
            </w:pPr>
            <w:r>
              <w:rPr>
                <w:i/>
                <w:iCs/>
                <w:color w:val="000000"/>
                <w:sz w:val="20"/>
                <w:szCs w:val="20"/>
              </w:rPr>
              <w:t>100</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color w:val="000000"/>
                <w:sz w:val="20"/>
                <w:szCs w:val="20"/>
              </w:rPr>
            </w:pPr>
            <w:r>
              <w:rPr>
                <w:i/>
                <w:iCs/>
                <w:color w:val="000000"/>
                <w:sz w:val="20"/>
                <w:szCs w:val="20"/>
              </w:rPr>
              <w:t>48,10</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color w:val="000000"/>
                <w:sz w:val="20"/>
                <w:szCs w:val="20"/>
              </w:rPr>
            </w:pPr>
            <w:r>
              <w:rPr>
                <w:i/>
                <w:iCs/>
                <w:color w:val="000000"/>
                <w:sz w:val="20"/>
                <w:szCs w:val="20"/>
              </w:rPr>
              <w:t>54,82</w:t>
            </w:r>
          </w:p>
        </w:tc>
        <w:tc>
          <w:tcPr>
            <w:tcW w:w="32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i/>
                <w:i/>
                <w:iCs/>
                <w:color w:val="000000"/>
                <w:sz w:val="20"/>
                <w:szCs w:val="20"/>
              </w:rPr>
            </w:pPr>
            <w:r>
              <w:rPr>
                <w:i/>
                <w:iCs/>
                <w:color w:val="000000"/>
                <w:sz w:val="20"/>
                <w:szCs w:val="20"/>
              </w:rPr>
              <w:t>100,00</w:t>
            </w:r>
          </w:p>
        </w:tc>
      </w:tr>
      <w:tr>
        <w:trPr>
          <w:trHeight w:val="556"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rPr>
                <w:color w:val="000000"/>
                <w:sz w:val="20"/>
                <w:szCs w:val="20"/>
              </w:rPr>
            </w:pPr>
            <w:r>
              <w:rPr>
                <w:color w:val="000000"/>
                <w:sz w:val="20"/>
                <w:szCs w:val="20"/>
              </w:rPr>
              <w:t>Сумма баллов с учетом весовых коэффициентов</w:t>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rPr>
                <w:b/>
                <w:bCs/>
                <w:color w:val="000000"/>
                <w:sz w:val="20"/>
                <w:szCs w:val="20"/>
              </w:rPr>
            </w:pPr>
            <w:r>
              <w:rPr>
                <w:b/>
                <w:bCs/>
                <w:color w:val="000000"/>
                <w:sz w:val="20"/>
                <w:szCs w:val="20"/>
              </w:rPr>
              <w:t> </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65,92</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93,22</w:t>
            </w:r>
          </w:p>
        </w:tc>
        <w:tc>
          <w:tcPr>
            <w:tcW w:w="325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87,18</w:t>
            </w:r>
          </w:p>
        </w:tc>
      </w:tr>
      <w:tr>
        <w:trPr>
          <w:trHeight w:val="330"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rPr>
                <w:color w:val="000000"/>
                <w:sz w:val="20"/>
                <w:szCs w:val="20"/>
              </w:rPr>
            </w:pPr>
            <w:r>
              <w:rPr>
                <w:color w:val="000000"/>
                <w:sz w:val="20"/>
                <w:szCs w:val="20"/>
              </w:rPr>
              <w:t>Ранжирование предложений</w:t>
            </w:r>
          </w:p>
        </w:tc>
        <w:tc>
          <w:tcPr>
            <w:tcW w:w="2509" w:type="dxa"/>
            <w:tcBorders>
              <w:top w:val="single" w:sz="4" w:space="0" w:color="000000"/>
              <w:start w:val="single" w:sz="4" w:space="0" w:color="000000"/>
              <w:bottom w:val="single" w:sz="4" w:space="0" w:color="000000"/>
              <w:end w:val="single" w:sz="4" w:space="0" w:color="000000"/>
            </w:tcBorders>
            <w:vAlign w:val="bottom"/>
          </w:tcPr>
          <w:p>
            <w:pPr>
              <w:pStyle w:val="Normal"/>
              <w:rPr>
                <w:b/>
                <w:bCs/>
                <w:color w:val="000000"/>
                <w:sz w:val="20"/>
                <w:szCs w:val="20"/>
              </w:rPr>
            </w:pPr>
            <w:r>
              <w:rPr>
                <w:b/>
                <w:bCs/>
                <w:color w:val="000000"/>
                <w:sz w:val="20"/>
                <w:szCs w:val="20"/>
              </w:rPr>
              <w:t> </w:t>
            </w:r>
          </w:p>
        </w:tc>
        <w:tc>
          <w:tcPr>
            <w:tcW w:w="2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szCs w:val="20"/>
              </w:rPr>
            </w:pPr>
            <w:r>
              <w:rPr>
                <w:color w:val="000000"/>
                <w:sz w:val="20"/>
                <w:szCs w:val="20"/>
              </w:rPr>
              <w:t>2</w:t>
            </w:r>
          </w:p>
        </w:tc>
        <w:tc>
          <w:tcPr>
            <w:tcW w:w="2647"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color w:val="000000"/>
                <w:sz w:val="20"/>
                <w:szCs w:val="20"/>
              </w:rPr>
            </w:pPr>
            <w:r>
              <w:rPr>
                <w:b/>
                <w:bCs/>
                <w:color w:val="000000"/>
                <w:sz w:val="20"/>
                <w:szCs w:val="20"/>
              </w:rPr>
              <w:t>1</w:t>
            </w:r>
          </w:p>
        </w:tc>
        <w:tc>
          <w:tcPr>
            <w:tcW w:w="3255" w:type="dxa"/>
            <w:tcBorders>
              <w:top w:val="single" w:sz="4" w:space="0" w:color="000000"/>
              <w:start w:val="single" w:sz="4" w:space="0" w:color="000000"/>
              <w:bottom w:val="single" w:sz="4" w:space="0" w:color="000000"/>
              <w:end w:val="single" w:sz="4" w:space="0" w:color="000000"/>
            </w:tcBorders>
            <w:vAlign w:val="bottom"/>
          </w:tcPr>
          <w:p>
            <w:pPr>
              <w:pStyle w:val="Normal"/>
              <w:jc w:val="center"/>
              <w:rPr>
                <w:color w:val="000000"/>
                <w:sz w:val="20"/>
                <w:szCs w:val="20"/>
              </w:rPr>
            </w:pPr>
            <w:r>
              <w:rPr>
                <w:color w:val="000000"/>
                <w:sz w:val="20"/>
                <w:szCs w:val="20"/>
              </w:rPr>
              <w:t>3</w:t>
            </w:r>
          </w:p>
        </w:tc>
      </w:tr>
      <w:tr>
        <w:trPr>
          <w:trHeight w:val="346" w:hRule="atLeast"/>
        </w:trPr>
        <w:tc>
          <w:tcPr>
            <w:tcW w:w="3717" w:type="dxa"/>
            <w:tcBorders>
              <w:top w:val="single" w:sz="4" w:space="0" w:color="000000"/>
              <w:start w:val="single" w:sz="4" w:space="0" w:color="000000"/>
              <w:bottom w:val="single" w:sz="4" w:space="0" w:color="000000"/>
              <w:end w:val="single" w:sz="4" w:space="0" w:color="000000"/>
            </w:tcBorders>
            <w:vAlign w:val="bottom"/>
          </w:tcPr>
          <w:p>
            <w:pPr>
              <w:pStyle w:val="Normal"/>
              <w:rPr>
                <w:b/>
                <w:color w:val="000000"/>
                <w:sz w:val="20"/>
                <w:szCs w:val="20"/>
              </w:rPr>
            </w:pPr>
            <w:r>
              <w:rPr>
                <w:b/>
                <w:color w:val="000000"/>
                <w:sz w:val="20"/>
                <w:szCs w:val="20"/>
              </w:rPr>
              <w:t>Предлагается признать победителем:</w:t>
            </w:r>
          </w:p>
        </w:tc>
        <w:tc>
          <w:tcPr>
            <w:tcW w:w="10777" w:type="dxa"/>
            <w:gridSpan w:val="4"/>
            <w:tcBorders>
              <w:top w:val="single" w:sz="4" w:space="0" w:color="000000"/>
              <w:start w:val="single" w:sz="4" w:space="0" w:color="000000"/>
              <w:bottom w:val="single" w:sz="4" w:space="0" w:color="000000"/>
              <w:end w:val="single" w:sz="4" w:space="0" w:color="000000"/>
            </w:tcBorders>
            <w:vAlign w:val="bottom"/>
          </w:tcPr>
          <w:p>
            <w:pPr>
              <w:pStyle w:val="Normal"/>
              <w:jc w:val="center"/>
              <w:rPr>
                <w:sz w:val="20"/>
                <w:szCs w:val="20"/>
              </w:rPr>
            </w:pPr>
            <w:r>
              <w:rPr>
                <w:b/>
                <w:bCs/>
                <w:color w:val="000000"/>
                <w:sz w:val="20"/>
                <w:szCs w:val="20"/>
              </w:rPr>
              <w:t>Участник 8340 ООО "ЭРГО" ИНН 7810155809</w:t>
            </w:r>
          </w:p>
        </w:tc>
      </w:tr>
    </w:tbl>
    <w:p>
      <w:pPr>
        <w:pStyle w:val="Normal"/>
        <w:widowControl w:val="false"/>
        <w:spacing w:before="120" w:after="120"/>
        <w:rPr>
          <w:b/>
          <w:sz w:val="20"/>
          <w:szCs w:val="20"/>
        </w:rPr>
      </w:pPr>
      <w:r>
        <w:rPr>
          <w:b/>
          <w:sz w:val="20"/>
          <w:szCs w:val="20"/>
        </w:rPr>
      </w:r>
    </w:p>
    <w:sectPr>
      <w:footerReference w:type="default" r:id="rId4"/>
      <w:footerReference w:type="first" r:id="rId5"/>
      <w:type w:val="nextPage"/>
      <w:pgSz w:orient="landscape" w:w="16838" w:h="11906"/>
      <w:pgMar w:left="1134" w:right="440" w:gutter="0" w:header="0" w:top="851" w:footer="709"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Liberation Sans">
    <w:altName w:val="Arial"/>
    <w:charset w:val="01" w:characterSet="utf-8"/>
    <w:family w:val="swiss"/>
    <w:pitch w:val="variable"/>
  </w:font>
  <w:font w:name="Verdana">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360" w:hanging="360"/>
      </w:p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3">
    <w:lvl w:ilvl="0">
      <w:start w:val="1"/>
      <w:numFmt w:val="decimal"/>
      <w:lvlText w:val="%1."/>
      <w:lvlJc w:val="start"/>
      <w:pPr>
        <w:tabs>
          <w:tab w:val="num" w:pos="0"/>
        </w:tabs>
        <w:ind w:start="360" w:hanging="360"/>
      </w:pPr>
      <w:rPr>
        <w:i w:val="false"/>
      </w:rPr>
    </w:lvl>
    <w:lvl w:ilvl="1">
      <w:start w:val="1"/>
      <w:numFmt w:val="decimal"/>
      <w:lvlText w:val="%1.%2."/>
      <w:lvlJc w:val="start"/>
      <w:pPr>
        <w:tabs>
          <w:tab w:val="num" w:pos="0"/>
        </w:tabs>
        <w:ind w:start="792" w:hanging="432"/>
      </w:p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4">
    <w:lvl w:ilvl="0">
      <w:start w:val="1"/>
      <w:numFmt w:val="decimal"/>
      <w:lvlText w:val="%1."/>
      <w:lvlJc w:val="start"/>
      <w:pPr>
        <w:tabs>
          <w:tab w:val="num" w:pos="1134"/>
        </w:tabs>
        <w:ind w:start="0" w:firstLine="567"/>
      </w:pPr>
      <w:rPr/>
    </w:lvl>
    <w:lvl w:ilvl="1">
      <w:start w:val="1"/>
      <w:numFmt w:val="decimal"/>
      <w:lvlText w:val="%1.%2."/>
      <w:lvlJc w:val="start"/>
      <w:pPr>
        <w:tabs>
          <w:tab w:val="num" w:pos="708"/>
        </w:tabs>
        <w:ind w:start="2126" w:hanging="708"/>
      </w:pPr>
      <w:rPr/>
    </w:lvl>
    <w:lvl w:ilvl="2">
      <w:start w:val="1"/>
      <w:numFmt w:val="decimal"/>
      <w:lvlText w:val="%1.%2.%3."/>
      <w:lvlJc w:val="start"/>
      <w:pPr>
        <w:tabs>
          <w:tab w:val="num" w:pos="2835"/>
        </w:tabs>
        <w:ind w:start="2835" w:hanging="708"/>
      </w:pPr>
      <w:rPr/>
    </w:lvl>
    <w:lvl w:ilvl="3">
      <w:start w:val="1"/>
      <w:numFmt w:val="decimal"/>
      <w:lvlText w:val="%1.%2.%3.%4."/>
      <w:lvlJc w:val="start"/>
      <w:pPr>
        <w:tabs>
          <w:tab w:val="num" w:pos="708"/>
        </w:tabs>
        <w:ind w:start="3540" w:hanging="708"/>
      </w:pPr>
      <w:rPr/>
    </w:lvl>
    <w:lvl w:ilvl="4">
      <w:start w:val="1"/>
      <w:numFmt w:val="decimal"/>
      <w:lvlText w:val="%1.%2.%3.%4.%5."/>
      <w:lvlJc w:val="start"/>
      <w:pPr>
        <w:tabs>
          <w:tab w:val="num" w:pos="708"/>
        </w:tabs>
        <w:ind w:start="4248" w:hanging="708"/>
      </w:pPr>
      <w:rPr/>
    </w:lvl>
    <w:lvl w:ilvl="5">
      <w:start w:val="0"/>
      <w:numFmt w:val="none"/>
      <w:suff w:val="nothing"/>
      <w:lvlText w:val=""/>
      <w:lvlJc w:val="start"/>
      <w:pPr>
        <w:tabs>
          <w:tab w:val="num" w:pos="360"/>
        </w:tabs>
        <w:ind w:start="0" w:hanging="0"/>
      </w:pPr>
    </w:lvl>
    <w:lvl w:ilvl="6">
      <w:start w:val="1"/>
      <w:numFmt w:val="decimal"/>
      <w:lvlText w:val="%1.%2.%3.%4.%5.%6%7."/>
      <w:lvlJc w:val="start"/>
      <w:pPr>
        <w:tabs>
          <w:tab w:val="num" w:pos="708"/>
        </w:tabs>
        <w:ind w:start="5664" w:hanging="708"/>
      </w:pPr>
      <w:rPr/>
    </w:lvl>
    <w:lvl w:ilvl="7">
      <w:start w:val="1"/>
      <w:numFmt w:val="decimal"/>
      <w:lvlText w:val="%1.%2.%3.%4.%5.%6%7.%8."/>
      <w:lvlJc w:val="start"/>
      <w:pPr>
        <w:tabs>
          <w:tab w:val="num" w:pos="708"/>
        </w:tabs>
        <w:ind w:start="6372" w:hanging="708"/>
      </w:pPr>
      <w:rPr/>
    </w:lvl>
    <w:lvl w:ilvl="8">
      <w:start w:val="1"/>
      <w:numFmt w:val="decimal"/>
      <w:lvlText w:val="%1.%2.%3.%4.%5.%6%7.%8.%9."/>
      <w:lvlJc w:val="start"/>
      <w:pPr>
        <w:tabs>
          <w:tab w:val="num" w:pos="708"/>
        </w:tabs>
        <w:ind w:start="7080" w:hanging="708"/>
      </w:pPr>
      <w:rPr/>
    </w:lvl>
  </w:abstractNum>
  <w:abstractNum w:abstractNumId="5">
    <w:lvl w:ilvl="0">
      <w:start w:val="1"/>
      <w:numFmt w:val="bullet"/>
      <w:lvlText w:val=""/>
      <w:lvlJc w:val="start"/>
      <w:pPr>
        <w:tabs>
          <w:tab w:val="num" w:pos="1440"/>
        </w:tabs>
        <w:ind w:start="1440" w:hanging="360"/>
      </w:pPr>
      <w:rPr>
        <w:rFonts w:ascii="Symbol" w:hAnsi="Symbol" w:cs="Symbol" w:hint="default"/>
        <w:sz w:val="16"/>
        <w:i w:val="false"/>
        <w:b w:val="false"/>
        <w:color w:val="00000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both"/>
      <w:outlineLvl w:val="0"/>
    </w:pPr>
    <w:rPr>
      <w:sz w:val="28"/>
      <w:szCs w:val="28"/>
    </w:rPr>
  </w:style>
  <w:style w:type="paragraph" w:styleId="Heading2">
    <w:name w:val="heading 2"/>
    <w:basedOn w:val="Normal"/>
    <w:next w:val="Normal"/>
    <w:qFormat/>
    <w:pPr>
      <w:keepNext w:val="true"/>
      <w:numPr>
        <w:ilvl w:val="1"/>
        <w:numId w:val="1"/>
      </w:numPr>
      <w:tabs>
        <w:tab w:val="clear" w:pos="708"/>
        <w:tab w:val="left" w:pos="1134" w:leader="none"/>
      </w:tabs>
      <w:suppressAutoHyphens w:val="true"/>
      <w:spacing w:before="360" w:after="120"/>
      <w:ind w:hanging="1134" w:start="1134" w:end="0"/>
      <w:outlineLvl w:val="1"/>
    </w:pPr>
    <w:rPr>
      <w:b/>
      <w:sz w:val="32"/>
      <w:szCs w:val="20"/>
      <w:lang w:val="en-U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z w:val="20"/>
      <w:szCs w:val="20"/>
    </w:rPr>
  </w:style>
  <w:style w:type="character" w:styleId="WW8Num5z0">
    <w:name w:val="WW8Num5z0"/>
    <w:qFormat/>
    <w:rPr/>
  </w:style>
  <w:style w:type="character" w:styleId="WW8Num6z0">
    <w:name w:val="WW8Num6z0"/>
    <w:qFormat/>
    <w:rPr>
      <w:i w:val="false"/>
    </w:rPr>
  </w:style>
  <w:style w:type="character" w:styleId="WW8Num7z0">
    <w:name w:val="WW8Num7z0"/>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color w:val="000000"/>
    </w:rPr>
  </w:style>
  <w:style w:type="character" w:styleId="WW8Num11z0">
    <w:name w:val="WW8Num11z0"/>
    <w:qFormat/>
    <w:rPr/>
  </w:style>
  <w:style w:type="character" w:styleId="WW8Num12z0">
    <w:name w:val="WW8Num12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5z0">
    <w:name w:val="WW8Num15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6z0">
    <w:name w:val="WW8Num16z0"/>
    <w:qFormat/>
    <w:rPr/>
  </w:style>
  <w:style w:type="character" w:styleId="WW8Num17z0">
    <w:name w:val="WW8Num17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18z0">
    <w:name w:val="WW8Num18z0"/>
    <w:qFormat/>
    <w:rPr>
      <w:sz w:val="24"/>
      <w:szCs w:val="24"/>
    </w:rPr>
  </w:style>
  <w:style w:type="character" w:styleId="WW8Num18z1">
    <w:name w:val="WW8Num18z1"/>
    <w:qFormat/>
    <w:rPr>
      <w:rFonts w:ascii="Symbol" w:hAnsi="Symbol" w:cs="Symbol"/>
      <w:b w:val="false"/>
      <w:i w:val="false"/>
      <w:color w:val="000000"/>
      <w:sz w:val="24"/>
    </w:rPr>
  </w:style>
  <w:style w:type="character" w:styleId="WW8Num19z0">
    <w:name w:val="WW8Num19z0"/>
    <w:qFormat/>
    <w:rPr/>
  </w:style>
  <w:style w:type="character" w:styleId="WW8Num19z1">
    <w:name w:val="WW8Num19z1"/>
    <w:qFormat/>
    <w:rPr>
      <w:b/>
      <w:sz w:val="26"/>
      <w:szCs w:val="26"/>
    </w:rPr>
  </w:style>
  <w:style w:type="character" w:styleId="WW8Num19z2">
    <w:name w:val="WW8Num19z2"/>
    <w:qFormat/>
    <w:rPr>
      <w:b w:val="false"/>
      <w:i w:val="false"/>
    </w:rPr>
  </w:style>
  <w:style w:type="character" w:styleId="WW8Num20z0">
    <w:name w:val="WW8Num20z0"/>
    <w:qFormat/>
    <w:rPr>
      <w:rFonts w:ascii="Symbol" w:hAnsi="Symbol" w:cs="Symbol"/>
      <w:b w:val="false"/>
      <w:i w:val="false"/>
      <w:color w:val="000000"/>
      <w:sz w:val="24"/>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22z0">
    <w:name w:val="WW8Num22z0"/>
    <w:qFormat/>
    <w:rPr>
      <w:sz w:val="20"/>
      <w:szCs w:val="20"/>
    </w:rPr>
  </w:style>
  <w:style w:type="character" w:styleId="WW8Num23z0">
    <w:name w:val="WW8Num23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24z0">
    <w:name w:val="WW8Num24z0"/>
    <w:qFormat/>
    <w:rPr/>
  </w:style>
  <w:style w:type="character" w:styleId="WW8Num26z0">
    <w:name w:val="WW8Num26z0"/>
    <w:qFormat/>
    <w:rPr>
      <w:sz w:val="24"/>
      <w:szCs w:val="24"/>
    </w:rPr>
  </w:style>
  <w:style w:type="character" w:styleId="WW8Num26z1">
    <w:name w:val="WW8Num26z1"/>
    <w:qFormat/>
    <w:rPr>
      <w:rFonts w:ascii="Symbol" w:hAnsi="Symbol" w:cs="Symbol"/>
      <w:b w:val="false"/>
      <w:i w:val="false"/>
      <w:sz w:val="24"/>
    </w:rPr>
  </w:style>
  <w:style w:type="character" w:styleId="WW8Num27z0">
    <w:name w:val="WW8Num27z0"/>
    <w:qFormat/>
    <w:rPr>
      <w:sz w:val="20"/>
      <w:szCs w:val="20"/>
    </w:rPr>
  </w:style>
  <w:style w:type="character" w:styleId="WW8Num29z0">
    <w:name w:val="WW8Num29z0"/>
    <w:qFormat/>
    <w:rPr/>
  </w:style>
  <w:style w:type="character" w:styleId="WW8Num29z1">
    <w:name w:val="WW8Num29z1"/>
    <w:qFormat/>
    <w:rPr>
      <w:color w:val="000000"/>
    </w:rPr>
  </w:style>
  <w:style w:type="character" w:styleId="WW8Num30z0">
    <w:name w:val="WW8Num30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1z0">
    <w:name w:val="WW8Num31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2z1">
    <w:name w:val="WW8Num32z1"/>
    <w:qFormat/>
    <w:rPr>
      <w:rFonts w:ascii="Symbol" w:hAnsi="Symbol" w:cs="Symbol"/>
      <w:b w:val="false"/>
      <w:i w:val="false"/>
      <w:color w:val="000000"/>
      <w:sz w:val="16"/>
    </w:rPr>
  </w:style>
  <w:style w:type="character" w:styleId="WW8Num33z0">
    <w:name w:val="WW8Num33z0"/>
    <w:qFormat/>
    <w:rPr>
      <w:rFonts w:ascii="Times New Roman" w:hAnsi="Times New Roman" w:cs="Times New Roman"/>
      <w:b w:val="false"/>
      <w:i w:val="false"/>
      <w:caps w:val="false"/>
      <w:smallCaps w:val="false"/>
      <w:strike w:val="false"/>
      <w:dstrike w:val="false"/>
      <w:outline w:val="false"/>
      <w:shadow w:val="false"/>
      <w:vanish w:val="false"/>
      <w:position w:val="0"/>
      <w:sz w:val="28"/>
      <w:sz w:val="28"/>
      <w:szCs w:val="28"/>
      <w:vertAlign w:val="baseline"/>
    </w:rPr>
  </w:style>
  <w:style w:type="character" w:styleId="WW8Num33z1">
    <w:name w:val="WW8Num33z1"/>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8"/>
      <w:vertAlign w:val="baseline"/>
    </w:rPr>
  </w:style>
  <w:style w:type="character" w:styleId="WW8Num34z0">
    <w:name w:val="WW8Num34z0"/>
    <w:qFormat/>
    <w:rPr>
      <w:rFonts w:ascii="Times New Roman" w:hAnsi="Times New Roman" w:cs="Times New Roman"/>
      <w:b w:val="false"/>
      <w:i w:val="false"/>
      <w:caps w:val="false"/>
      <w:smallCaps w:val="false"/>
      <w:strike w:val="false"/>
      <w:dstrike w:val="false"/>
      <w:outline w:val="false"/>
      <w:shadow w:val="false"/>
      <w:vanish w:val="false"/>
      <w:position w:val="0"/>
      <w:sz w:val="20"/>
      <w:sz w:val="20"/>
      <w:szCs w:val="20"/>
      <w:vertAlign w:val="baseline"/>
    </w:rPr>
  </w:style>
  <w:style w:type="character" w:styleId="WW8Num35z0">
    <w:name w:val="WW8Num35z0"/>
    <w:qFormat/>
    <w:rPr>
      <w:rFonts w:ascii="Symbol" w:hAnsi="Symbol" w:cs="Symbol"/>
      <w:b w:val="false"/>
      <w:i w:val="false"/>
      <w:color w:val="000000"/>
      <w:sz w:val="16"/>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Style12">
    <w:name w:val="Основной шрифт абзаца"/>
    <w:qFormat/>
    <w:rPr/>
  </w:style>
  <w:style w:type="character" w:styleId="PageNumber">
    <w:name w:val="page number"/>
    <w:basedOn w:val="Style12"/>
    <w:rPr/>
  </w:style>
  <w:style w:type="character" w:styleId="Style13">
    <w:name w:val="комментарий"/>
    <w:qFormat/>
    <w:rPr>
      <w:b/>
      <w:i/>
      <w:shd w:fill="FFFF99" w:val="clear"/>
    </w:rPr>
  </w:style>
  <w:style w:type="character" w:styleId="Style14">
    <w:name w:val="Комментраий Знак"/>
    <w:qFormat/>
    <w:rPr>
      <w:i/>
      <w:color w:val="3366FF"/>
      <w:sz w:val="28"/>
      <w:szCs w:val="28"/>
      <w:lang w:val="ru-RU" w:bidi="ar-SA"/>
    </w:rPr>
  </w:style>
  <w:style w:type="character" w:styleId="Style15">
    <w:name w:val="Нижний колонтитул Знак"/>
    <w:qFormat/>
    <w:rPr>
      <w:sz w:val="24"/>
      <w:szCs w:val="24"/>
    </w:rPr>
  </w:style>
  <w:style w:type="character" w:styleId="Style16">
    <w:name w:val="Подподпункт Знак"/>
    <w:qFormat/>
    <w:rPr>
      <w:sz w:val="28"/>
    </w:rPr>
  </w:style>
  <w:style w:type="character" w:styleId="FontStyle128">
    <w:name w:val="Font Style128"/>
    <w:qFormat/>
    <w:rPr>
      <w:rFonts w:ascii="Times New Roman" w:hAnsi="Times New Roman" w:cs="Times New Roman"/>
      <w:color w:val="000000"/>
      <w:sz w:val="26"/>
      <w:szCs w:val="26"/>
    </w:rPr>
  </w:style>
  <w:style w:type="character" w:styleId="2">
    <w:name w:val="Заголовок 2 Знак"/>
    <w:qFormat/>
    <w:rPr>
      <w:b/>
      <w:sz w:val="32"/>
    </w:rPr>
  </w:style>
  <w:style w:type="character" w:styleId="Style17">
    <w:name w:val="Основной текст с отступом Знак"/>
    <w:qFormat/>
    <w:rPr>
      <w:sz w:val="24"/>
      <w:szCs w:val="24"/>
    </w:rPr>
  </w:style>
  <w:style w:type="character" w:styleId="Style18">
    <w:name w:val="Основной текст Знак"/>
    <w:qFormat/>
    <w:rPr>
      <w:sz w:val="24"/>
      <w:szCs w:val="24"/>
    </w:rPr>
  </w:style>
  <w:style w:type="character" w:styleId="Style19">
    <w:name w:val="Знак примечания"/>
    <w:qFormat/>
    <w:rPr>
      <w:sz w:val="16"/>
      <w:szCs w:val="16"/>
    </w:rPr>
  </w:style>
  <w:style w:type="character" w:styleId="Style20">
    <w:name w:val="Текст примечания Знак"/>
    <w:basedOn w:val="Style12"/>
    <w:qFormat/>
    <w:rPr/>
  </w:style>
  <w:style w:type="character" w:styleId="Style21">
    <w:name w:val="Тема примечания Знак"/>
    <w:qFormat/>
    <w:rPr>
      <w:b/>
      <w:bCs/>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before="0" w:after="120"/>
    </w:pPr>
    <w:rPr>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DefaultParagraphFontParaCharChar">
    <w:name w:val="Default Paragraph Font Para Char Char Знак"/>
    <w:basedOn w:val="Normal"/>
    <w:qFormat/>
    <w:pPr>
      <w:spacing w:lineRule="exact" w:line="240" w:before="0" w:after="160"/>
    </w:pPr>
    <w:rPr>
      <w:rFonts w:ascii="Verdana" w:hAnsi="Verdana" w:cs="Verdana"/>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аблица шапка"/>
    <w:basedOn w:val="Normal"/>
    <w:qFormat/>
    <w:pPr>
      <w:keepNext w:val="true"/>
      <w:spacing w:before="40" w:after="40"/>
      <w:ind w:hanging="0" w:start="57" w:end="57"/>
    </w:pPr>
    <w:rPr>
      <w:sz w:val="22"/>
      <w:szCs w:val="20"/>
    </w:rPr>
  </w:style>
  <w:style w:type="paragraph" w:styleId="Style23">
    <w:name w:val="Таблица текст"/>
    <w:basedOn w:val="Normal"/>
    <w:qFormat/>
    <w:pPr>
      <w:spacing w:before="40" w:after="40"/>
      <w:ind w:hanging="0" w:start="57" w:end="57"/>
    </w:pPr>
    <w:rPr>
      <w:szCs w:val="20"/>
    </w:rPr>
  </w:style>
  <w:style w:type="paragraph" w:styleId="Style24">
    <w:name w:val="Схема документа"/>
    <w:basedOn w:val="Normal"/>
    <w:qFormat/>
    <w:pPr>
      <w:shd w:fill="000080" w:val="clear"/>
    </w:pPr>
    <w:rPr>
      <w:rFonts w:ascii="Tahoma" w:hAnsi="Tahoma" w:cs="Tahoma"/>
      <w:sz w:val="20"/>
      <w:szCs w:val="20"/>
    </w:rPr>
  </w:style>
  <w:style w:type="paragraph" w:styleId="Style25">
    <w:name w:val="Текст выноски"/>
    <w:basedOn w:val="Normal"/>
    <w:qFormat/>
    <w:pPr/>
    <w:rPr>
      <w:rFonts w:ascii="Tahoma" w:hAnsi="Tahoma" w:cs="Tahoma"/>
      <w:sz w:val="16"/>
      <w:szCs w:val="16"/>
    </w:rPr>
  </w:style>
  <w:style w:type="paragraph" w:styleId="Footer">
    <w:name w:val="footer"/>
    <w:basedOn w:val="Normal"/>
    <w:pPr>
      <w:tabs>
        <w:tab w:val="clear" w:pos="708"/>
        <w:tab w:val="center" w:pos="4677" w:leader="none"/>
        <w:tab w:val="right" w:pos="9355" w:leader="none"/>
      </w:tabs>
    </w:pPr>
    <w:rPr>
      <w:lang w:val="en-US"/>
    </w:rPr>
  </w:style>
  <w:style w:type="paragraph" w:styleId="Style26">
    <w:name w:val="Обычный (веб)"/>
    <w:basedOn w:val="Normal"/>
    <w:qFormat/>
    <w:pPr>
      <w:spacing w:before="280" w:after="280"/>
    </w:pPr>
    <w:rPr>
      <w:rFonts w:ascii="Arial" w:hAnsi="Arial" w:cs="Arial"/>
      <w:color w:val="283555"/>
      <w:sz w:val="20"/>
      <w:szCs w:val="20"/>
    </w:rPr>
  </w:style>
  <w:style w:type="paragraph" w:styleId="Style27">
    <w:name w:val="Подподпункт"/>
    <w:basedOn w:val="Normal"/>
    <w:qFormat/>
    <w:pPr>
      <w:numPr>
        <w:ilvl w:val="0"/>
        <w:numId w:val="4"/>
      </w:numPr>
      <w:tabs>
        <w:tab w:val="clear" w:pos="708"/>
        <w:tab w:val="left" w:pos="927" w:leader="none"/>
      </w:tabs>
      <w:spacing w:lineRule="auto" w:line="360"/>
      <w:ind w:hanging="360" w:start="927" w:end="0"/>
      <w:jc w:val="both"/>
    </w:pPr>
    <w:rPr>
      <w:sz w:val="28"/>
      <w:szCs w:val="20"/>
      <w:lang w:val="en-US"/>
    </w:rPr>
  </w:style>
  <w:style w:type="paragraph" w:styleId="Style28">
    <w:name w:val="Абзац списка"/>
    <w:basedOn w:val="Normal"/>
    <w:qFormat/>
    <w:pPr>
      <w:widowControl w:val="false"/>
      <w:autoSpaceDE w:val="false"/>
      <w:spacing w:before="0" w:after="0"/>
      <w:ind w:hanging="0" w:start="720" w:end="0"/>
      <w:contextualSpacing/>
    </w:pPr>
    <w:rPr/>
  </w:style>
  <w:style w:type="paragraph" w:styleId="Style29">
    <w:name w:val="Пункт"/>
    <w:basedOn w:val="Normal"/>
    <w:qFormat/>
    <w:pPr>
      <w:tabs>
        <w:tab w:val="clear" w:pos="708"/>
        <w:tab w:val="left" w:pos="1134" w:leader="none"/>
      </w:tabs>
      <w:spacing w:lineRule="auto" w:line="360"/>
      <w:ind w:hanging="1134" w:start="1134" w:end="0"/>
      <w:jc w:val="both"/>
    </w:pPr>
    <w:rPr>
      <w:sz w:val="28"/>
      <w:szCs w:val="20"/>
    </w:rPr>
  </w:style>
  <w:style w:type="paragraph" w:styleId="BodyTextIndent">
    <w:name w:val="Body Text Indent"/>
    <w:basedOn w:val="Normal"/>
    <w:pPr>
      <w:ind w:hanging="0" w:start="-720" w:end="0"/>
      <w:jc w:val="both"/>
    </w:pPr>
    <w:rPr>
      <w:lang w:val="en-US"/>
    </w:rPr>
  </w:style>
  <w:style w:type="paragraph" w:styleId="Style30">
    <w:name w:val="Нумерованный список"/>
    <w:basedOn w:val="BodyText"/>
    <w:qFormat/>
    <w:pPr>
      <w:tabs>
        <w:tab w:val="clear" w:pos="708"/>
        <w:tab w:val="left" w:pos="360" w:leader="none"/>
      </w:tabs>
      <w:autoSpaceDE w:val="false"/>
      <w:spacing w:lineRule="auto" w:line="360" w:before="60" w:after="0"/>
      <w:jc w:val="both"/>
    </w:pPr>
    <w:rPr>
      <w:sz w:val="28"/>
    </w:rPr>
  </w:style>
  <w:style w:type="paragraph" w:styleId="Style31">
    <w:name w:val="Текст примечания"/>
    <w:basedOn w:val="Normal"/>
    <w:qFormat/>
    <w:pPr/>
    <w:rPr>
      <w:sz w:val="20"/>
      <w:szCs w:val="20"/>
    </w:rPr>
  </w:style>
  <w:style w:type="paragraph" w:styleId="Style32">
    <w:name w:val="Тема примечания"/>
    <w:basedOn w:val="Style31"/>
    <w:next w:val="Style31"/>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2022-08-17T07:40:00Z</dcterms:created>
  <dc:creator/>
  <dc:description/>
  <cp:keywords/>
  <dc:language>en-US</dc:language>
  <cp:lastModifiedBy/>
  <dcterms:modified xsi:type="dcterms:W3CDTF">2025-12-15T06:28:00Z</dcterms:modified>
  <cp:revision>1</cp:revision>
  <dc:subject/>
  <dc:title>Протокол вскрытия конвертов</dc:title>
</cp:coreProperties>
</file>