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kern w:val="2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kern w:val="2"/>
          <w:sz w:val="32"/>
          <w:szCs w:val="32"/>
          <w:lang w:eastAsia="ru-RU"/>
        </w:rPr>
      </w:r>
      <w:bookmarkStart w:id="0" w:name="_Ref175654226"/>
      <w:bookmarkStart w:id="1" w:name="_Ref175654226"/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«УТВЕРЖДАЮ»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Председатель комиссии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 xml:space="preserve">                                             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____________Н.В.Скибо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end"/>
        <w:outlineLvl w:val="0"/>
        <w:rPr/>
      </w:pP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 xml:space="preserve">                                                          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«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val="en-US" w:eastAsia="ru-RU"/>
        </w:rPr>
        <w:t>14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ru-RU"/>
        </w:rPr>
        <w:t>» декабря 2025 г.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kern w:val="2"/>
          <w:sz w:val="32"/>
          <w:szCs w:val="32"/>
          <w:lang w:eastAsia="ru-RU"/>
        </w:rPr>
      </w:pPr>
      <w:bookmarkStart w:id="2" w:name="_Ref175654226"/>
      <w:r>
        <w:rPr>
          <w:rFonts w:eastAsia="Times New Roman" w:cs="Times New Roman" w:ascii="Times New Roman" w:hAnsi="Times New Roman"/>
          <w:b/>
          <w:kern w:val="2"/>
          <w:sz w:val="32"/>
          <w:szCs w:val="32"/>
          <w:lang w:eastAsia="ru-RU"/>
        </w:rPr>
        <w:t xml:space="preserve">ИТОГОВЫЙ ПРОТОКОЛ </w:t>
      </w:r>
      <w:bookmarkEnd w:id="2"/>
    </w:p>
    <w:p>
      <w:pPr>
        <w:pStyle w:val="Normal"/>
        <w:keepNext w:val="true"/>
        <w:keepLines/>
        <w:spacing w:before="0" w:after="0"/>
        <w:jc w:val="center"/>
        <w:rPr/>
      </w:pPr>
      <w:r>
        <w:rPr>
          <w:rFonts w:cs="Times New Roman" w:ascii="Times New Roman" w:hAnsi="Times New Roman"/>
          <w:b/>
          <w:sz w:val="24"/>
          <w:lang w:eastAsia="ru-RU"/>
        </w:rPr>
        <w:t>(№ ЕИС 32515446064)</w:t>
      </w:r>
    </w:p>
    <w:p>
      <w:pPr>
        <w:pStyle w:val="Normal"/>
        <w:keepNext w:val="true"/>
        <w:keepLines/>
        <w:spacing w:before="0" w:after="0"/>
        <w:ind w:firstLine="708" w:end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tbl>
      <w:tblPr>
        <w:tblW w:w="101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0"/>
        <w:gridCol w:w="4978"/>
      </w:tblGrid>
      <w:tr>
        <w:trPr/>
        <w:tc>
          <w:tcPr>
            <w:tcW w:w="5210" w:type="dxa"/>
            <w:tcBorders/>
          </w:tcPr>
          <w:p>
            <w:pPr>
              <w:pStyle w:val="Normal"/>
              <w:spacing w:lineRule="auto" w:line="240" w:before="0" w:after="0"/>
              <w:ind w:end="494"/>
              <w:rPr>
                <w:rFonts w:ascii="Times New Roman" w:hAnsi="Times New Roman" w:eastAsia="Times New Roman" w:cs="Times New Roman"/>
                <w:b/>
                <w:i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Р31/2101-2025/2</w:t>
            </w:r>
          </w:p>
        </w:tc>
        <w:tc>
          <w:tcPr>
            <w:tcW w:w="4978" w:type="dxa"/>
            <w:tcBorders/>
          </w:tcPr>
          <w:p>
            <w:pPr>
              <w:pStyle w:val="Normal"/>
              <w:spacing w:lineRule="auto" w:line="240" w:before="0" w:after="0"/>
              <w:ind w:start="550" w:end="0"/>
              <w:jc w:val="end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Дата подписания «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val="en-US" w:eastAsia="ru-RU"/>
              </w:rPr>
              <w:t>14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 xml:space="preserve">» декабря 2025г. </w:t>
            </w:r>
          </w:p>
        </w:tc>
      </w:tr>
    </w:tbl>
    <w:p>
      <w:pPr>
        <w:pStyle w:val="Normal"/>
        <w:spacing w:lineRule="auto" w:line="240" w:before="12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город Ярославль</w:t>
      </w:r>
    </w:p>
    <w:p>
      <w:pPr>
        <w:pStyle w:val="Normal"/>
        <w:spacing w:lineRule="auto" w:line="360" w:before="0" w:after="0"/>
        <w:ind w:end="-185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Times New Roman" w:cs="Times New Roman" w:ascii="Times New Roman" w:hAnsi="Times New Roman"/>
          <w:sz w:val="20"/>
          <w:szCs w:val="28"/>
          <w:lang w:eastAsia="ru-RU"/>
        </w:rPr>
        <w:t>раздел ГКПЗ на 2026 г., РаботыЭнРем, № закупки 2 001)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aps/>
          <w:sz w:val="24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outlineLvl w:val="1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СПОСОБ ЗАКУПКИ И ПРЕДМЕТ ДОГОВОРА: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Запрос предложений в электронной форме на право заключения договора на выполнение работ по ремонту турбогенераторов, электротехнического оборудования Архангельской ТЭЦ для нужд ПАО «ТГК-2», на основании распоряжения № Р31/2101-2025 от 25.11.2025 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aps/>
          <w:sz w:val="24"/>
          <w:szCs w:val="24"/>
          <w:lang w:eastAsia="ru-RU"/>
        </w:rPr>
        <w:t>Начальная (максимальная) цена договора (цена лота):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14 132 142,44 руб. без НДС.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outlineLvl w:val="1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СОСТАВ КОМИССИИ:</w:t>
      </w:r>
    </w:p>
    <w:p>
      <w:pPr>
        <w:pStyle w:val="Normal"/>
        <w:spacing w:lineRule="auto" w:line="240" w:before="12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>Председатель комиссии: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Скибо Н.В. (Заместитель генерального директора по ресурсообеспечению и логистике);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>Заместитель председателя комиссии: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Меньшов В.С. (Заместитель генерального директора по безопасности и режиму);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 xml:space="preserve">Члены комиссии: 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Пермякова О.С. (Заместитель генерального директора по экономике и финансам);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Игнатёнок В.В. (Директор по капитальному строительству);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Говоров А.А. (Директор по правовым вопросам);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ru-RU"/>
        </w:rPr>
        <w:t>Ответственный секретарь комиссии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Дроздова Н.А. (Отдел по проведению торгов\Начальник отдела).</w:t>
      </w:r>
    </w:p>
    <w:p>
      <w:pPr>
        <w:pStyle w:val="Normal"/>
        <w:spacing w:lineRule="auto" w:line="240" w:before="0" w:after="0"/>
        <w:ind w:firstLine="708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Извещение о закупке и Документация о закупке на право заключения договора на выполнение работ по ремонту турбогенераторов, электротехнического оборудования Архангельской ТЭЦ для нужд ПАО «ТГК-2» были размещены 25.11.2025г. в единой информационной системе www.zakupki.gov.ru и на сайте электронной торговой площадке ЭТП ГПБ.</w:t>
      </w:r>
    </w:p>
    <w:p>
      <w:pPr>
        <w:pStyle w:val="Normal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b/>
          <w:sz w:val="24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 запрос предложений в электронной форме до окончания срока подачи предложений (заявок) 05.12.2025 11:00 часов представлена 1 одна заявка на участие в закупке (прилагается как закрытая часть настоящего протокола):</w:t>
      </w:r>
      <w:r>
        <w:rPr>
          <w:rFonts w:eastAsia="Times New Roman" w:cs="Times New Roman" w:ascii="Times New Roman" w:hAnsi="Times New Roman"/>
          <w:b/>
          <w:sz w:val="24"/>
          <w:szCs w:val="28"/>
          <w:lang w:eastAsia="ru-RU"/>
        </w:rPr>
        <w:tab/>
      </w:r>
    </w:p>
    <w:p>
      <w:pPr>
        <w:pStyle w:val="Normal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b/>
          <w:sz w:val="24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eastAsia="ru-RU"/>
        </w:rPr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5260"/>
        <w:gridCol w:w="2339"/>
        <w:gridCol w:w="2029"/>
      </w:tblGrid>
      <w:tr>
        <w:trPr>
          <w:tblHeader w:val="true"/>
          <w:trHeight w:val="423" w:hRule="atLeast"/>
        </w:trPr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№</w:t>
            </w:r>
          </w:p>
          <w:p>
            <w:pPr>
              <w:pStyle w:val="Normal"/>
              <w:keepNext w:val="true"/>
              <w:spacing w:lineRule="auto" w:line="240" w:before="40" w:after="40"/>
              <w:ind w:start="57" w:end="57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п/п</w:t>
            </w:r>
          </w:p>
        </w:tc>
        <w:tc>
          <w:tcPr>
            <w:tcW w:w="5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заявки Участника закупки</w:t>
            </w:r>
          </w:p>
        </w:tc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Цена заявки на участие в закупке руб. без НДС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Дата и время регистрации заявки на участие в закупке</w:t>
            </w:r>
          </w:p>
        </w:tc>
      </w:tr>
      <w:tr>
        <w:trPr>
          <w:trHeight w:val="423" w:hRule="atLeast"/>
        </w:trPr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1.</w:t>
            </w:r>
          </w:p>
        </w:tc>
        <w:tc>
          <w:tcPr>
            <w:tcW w:w="5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Участник №1</w:t>
            </w:r>
          </w:p>
        </w:tc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14 132 142,44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40" w:after="4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03.12.2025 11:40</w:t>
            </w:r>
          </w:p>
        </w:tc>
      </w:tr>
    </w:tbl>
    <w:p>
      <w:pPr>
        <w:pStyle w:val="Normal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keepNext w:val="true"/>
        <w:keepLines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keepNext w:val="true"/>
        <w:keepLines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соответствии с подпунктом в) пункта 1.4.1 Документации о закупке, закупочной комиссией принято решение данную процедуру закупки признать несостоявшейся, т.к. на участие в закупке подана только одна заявка на участие в закупке.</w:t>
      </w:r>
    </w:p>
    <w:p>
      <w:pPr>
        <w:pStyle w:val="Normal"/>
        <w:keepNext w:val="true"/>
        <w:keepLines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Закупочная комиссия и привлеченные эксперты запроса предложений в электронной форме, рассмотрели заявку единственного Участника закупки на соответствие требованиям, установленным Извещением о закупке и Документацией по закупке. По результатам рассмотрения заявки на участие в закупке, принимая во внимание сводное экспертное заключение (прилагается, как закрытая часть настоящего протокола) и таблицу отборочных критериев (прилагается, как открытая часть настоящего протокола), комиссия приняла решение:</w:t>
      </w:r>
    </w:p>
    <w:p>
      <w:pPr>
        <w:pStyle w:val="Normal"/>
        <w:keepNext w:val="true"/>
        <w:keepLines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1701"/>
        <w:gridCol w:w="1701"/>
        <w:gridCol w:w="1729"/>
        <w:gridCol w:w="1842"/>
        <w:gridCol w:w="2949"/>
      </w:tblGrid>
      <w:tr>
        <w:trPr>
          <w:tblHeader w:val="true"/>
          <w:cantSplit w:val="true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№</w:t>
            </w:r>
          </w:p>
          <w:p>
            <w:pPr>
              <w:pStyle w:val="Normal"/>
              <w:keepNext w:val="true"/>
              <w:keepLines/>
              <w:spacing w:lineRule="auto" w:line="240" w:before="0" w:after="16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Участника закупки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Дата и время регистрации заявки на участие в закупке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ind w:start="57" w:end="57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Цена заявки на участие в закупке руб. без НДС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Решение о допуске 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заявки на участие в закупке</w:t>
            </w:r>
          </w:p>
        </w:tc>
        <w:tc>
          <w:tcPr>
            <w:tcW w:w="2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Основание для решения</w:t>
            </w:r>
          </w:p>
        </w:tc>
      </w:tr>
      <w:tr>
        <w:trPr>
          <w:trHeight w:val="804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ind w:start="57" w:end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Участник № 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03.12.2025 11:40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ind w:start="57" w:end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14 132 142,44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Допускается</w:t>
            </w:r>
          </w:p>
        </w:tc>
        <w:tc>
          <w:tcPr>
            <w:tcW w:w="2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Заявка Участника закупки 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соответствует</w:t>
            </w:r>
            <w:r>
              <w:rPr>
                <w:rFonts w:cs="Times New Roman" w:ascii="Times New Roman" w:hAnsi="Times New Roman"/>
              </w:rPr>
              <w:t xml:space="preserve"> требованиям Извещения и Документации о закупке.</w:t>
            </w:r>
          </w:p>
        </w:tc>
      </w:tr>
    </w:tbl>
    <w:p>
      <w:pPr>
        <w:pStyle w:val="Normal"/>
        <w:keepNext w:val="true"/>
        <w:keepLines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pacing w:val="-3"/>
          <w:sz w:val="24"/>
          <w:szCs w:val="24"/>
        </w:rPr>
        <w:t xml:space="preserve">В соответствии с подпунктом а) пункта 1.4.4. Документации о закупке комиссией принято решение признать </w:t>
      </w: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 xml:space="preserve">победителем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запроса предложений в электронной форме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Участника закупки № 1, предложение </w:t>
      </w:r>
      <w:r>
        <w:rPr>
          <w:rFonts w:cs="Times New Roman" w:ascii="Times New Roman" w:hAnsi="Times New Roman"/>
          <w:sz w:val="24"/>
          <w:szCs w:val="24"/>
        </w:rPr>
        <w:t xml:space="preserve">которого соответствует требованиям Извещения о закупке и Документации о закупке, содержит лучшие условия исполнения договора по установленным критериям, </w:t>
      </w:r>
      <w:r>
        <w:rPr>
          <w:rFonts w:eastAsia="Times New Roman" w:cs="Times New Roman" w:ascii="Times New Roman" w:hAnsi="Times New Roman"/>
          <w:bCs/>
          <w:sz w:val="24"/>
          <w:szCs w:val="24"/>
        </w:rPr>
        <w:t>и з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аключить договор на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выполнение работ по ремонту турбогенераторов, электротехнического оборудования Архангельской ТЭЦ для нужд ПАО «ТГК-2» с единственным Участником закупки, подавшим заявку на участие в закупке, на условиях, предусмотренных Извещением о закупке, и по цене, предложенной указанным Участником закупки в заявке на участие с Участником </w:t>
      </w:r>
      <w:r>
        <w:rPr>
          <w:rFonts w:eastAsia="Times New Roman" w:cs="Times New Roman" w:ascii="Times New Roman" w:hAnsi="Times New Roman"/>
          <w:sz w:val="24"/>
        </w:rPr>
        <w:t xml:space="preserve">№ 1 </w:t>
      </w:r>
      <w:r>
        <w:rPr>
          <w:rFonts w:eastAsia="Times New Roman" w:cs="Times New Roman" w:ascii="Times New Roman" w:hAnsi="Times New Roman"/>
          <w:bCs/>
          <w:sz w:val="24"/>
        </w:rPr>
        <w:t>на следующих условиях: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sz w:val="24"/>
        </w:rPr>
        <w:t xml:space="preserve">Стоимость товаров (работ, услуг), поставляемых (выполняемых / оказываемых) Победителем закупки по настоящему договору, </w:t>
      </w:r>
      <w:r>
        <w:rPr>
          <w:rFonts w:cs="Times New Roman" w:ascii="Times New Roman" w:hAnsi="Times New Roman"/>
          <w:b/>
          <w:sz w:val="24"/>
        </w:rPr>
        <w:t>составляет не более 14 132 142, 44 рублей</w:t>
      </w:r>
      <w:r>
        <w:rPr>
          <w:rFonts w:cs="Times New Roman" w:ascii="Times New Roman" w:hAnsi="Times New Roman"/>
          <w:sz w:val="24"/>
        </w:rPr>
        <w:t>, кроме того, НДС по установленной НК РФ ставке.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Объем товаров, работ, услуг</w:t>
      </w:r>
      <w:r>
        <w:rPr>
          <w:rFonts w:cs="Times New Roman" w:ascii="Times New Roman" w:hAnsi="Times New Roman"/>
          <w:sz w:val="24"/>
        </w:rPr>
        <w:t>: В соответствии с ТЗ.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b/>
          <w:sz w:val="24"/>
        </w:rPr>
        <w:t>Условия оплаты</w:t>
      </w:r>
      <w:r>
        <w:rPr>
          <w:rFonts w:cs="Times New Roman" w:ascii="Times New Roman" w:hAnsi="Times New Roman"/>
          <w:sz w:val="24"/>
        </w:rPr>
        <w:t>: В соответствии с проектом Договора.</w:t>
      </w:r>
    </w:p>
    <w:p>
      <w:pPr>
        <w:pStyle w:val="Normal"/>
        <w:keepNext w:val="true"/>
        <w:keepLines/>
        <w:suppressAutoHyphens w:val="tru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Сроки исполнения договора</w:t>
      </w:r>
      <w:r>
        <w:rPr>
          <w:rFonts w:cs="Times New Roman" w:ascii="Times New Roman" w:hAnsi="Times New Roman"/>
          <w:sz w:val="24"/>
        </w:rPr>
        <w:t>: С 23.01.2026 года по 31.12.2026 года.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РЕЗУЛЬТАТЫ ГОЛОСОВАНИЯ:</w:t>
      </w:r>
    </w:p>
    <w:p>
      <w:pPr>
        <w:pStyle w:val="Normal"/>
        <w:keepNext w:val="true"/>
        <w:keepLines/>
        <w:spacing w:lineRule="auto" w:line="240" w:before="0" w:after="0"/>
        <w:rPr/>
      </w:pPr>
      <w:r>
        <w:rPr>
          <w:rFonts w:cs="Times New Roman" w:ascii="Times New Roman" w:hAnsi="Times New Roman"/>
        </w:rPr>
        <w:t>«За» _____5__ членов закупочной комиссии</w:t>
      </w:r>
    </w:p>
    <w:p>
      <w:pPr>
        <w:pStyle w:val="Normal"/>
        <w:keepNext w:val="true"/>
        <w:keepLines/>
        <w:spacing w:lineRule="auto" w:line="240" w:before="0" w:after="0"/>
        <w:rPr/>
      </w:pPr>
      <w:r>
        <w:rPr>
          <w:rFonts w:cs="Times New Roman" w:ascii="Times New Roman" w:hAnsi="Times New Roman"/>
        </w:rPr>
        <w:t>«Против» ___0____ членов закупочной комиссии</w:t>
      </w:r>
    </w:p>
    <w:p>
      <w:pPr>
        <w:pStyle w:val="Normal"/>
        <w:keepNext w:val="true"/>
        <w:keepLines/>
        <w:spacing w:lineRule="auto" w:line="240" w:before="0" w:after="0"/>
        <w:rPr/>
      </w:pPr>
      <w:r>
        <w:rPr>
          <w:rFonts w:cs="Times New Roman" w:ascii="Times New Roman" w:hAnsi="Times New Roman"/>
        </w:rPr>
        <w:t>«Воздержалось» ___</w:t>
      </w:r>
      <w:r>
        <w:rPr>
          <w:rFonts w:cs="Times New Roman" w:ascii="Times New Roman" w:hAnsi="Times New Roman"/>
          <w:lang w:val="en-US"/>
        </w:rPr>
        <w:t>0</w:t>
      </w:r>
      <w:r>
        <w:rPr>
          <w:rFonts w:cs="Times New Roman" w:ascii="Times New Roman" w:hAnsi="Times New Roman"/>
        </w:rPr>
        <w:t>____ членов закупочной комиссии</w:t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«Отсутствовало» ___</w:t>
      </w:r>
      <w:r>
        <w:rPr>
          <w:rFonts w:cs="Times New Roman" w:ascii="Times New Roman" w:hAnsi="Times New Roman"/>
          <w:lang w:val="en-US"/>
        </w:rPr>
        <w:t>0</w:t>
      </w:r>
      <w:r>
        <w:rPr>
          <w:rFonts w:cs="Times New Roman" w:ascii="Times New Roman" w:hAnsi="Times New Roman"/>
        </w:rPr>
        <w:t>____ членов закупочной комиссии.</w:t>
      </w:r>
    </w:p>
    <w:tbl>
      <w:tblPr>
        <w:tblW w:w="9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9"/>
        <w:gridCol w:w="4421"/>
      </w:tblGrid>
      <w:tr>
        <w:trPr>
          <w:trHeight w:val="484" w:hRule="atLeast"/>
        </w:trPr>
        <w:tc>
          <w:tcPr>
            <w:tcW w:w="4759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u w:val="single"/>
                <w:lang w:eastAsia="ru-RU"/>
              </w:rPr>
            </w:r>
          </w:p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u w:val="single"/>
                <w:lang w:eastAsia="ru-RU"/>
              </w:rPr>
              <w:t xml:space="preserve">Ответственный секретарь комиссии </w:t>
            </w:r>
          </w:p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u w:val="single"/>
                <w:lang w:eastAsia="ru-RU"/>
              </w:rPr>
            </w:r>
          </w:p>
        </w:tc>
        <w:tc>
          <w:tcPr>
            <w:tcW w:w="4421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u w:val="single"/>
                <w:lang w:eastAsia="ru-RU"/>
              </w:rPr>
            </w:r>
          </w:p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_____________Н.А.Дроздова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851" w:right="850" w:gutter="0" w:header="708" w:top="764" w:footer="0" w:bottom="568"/>
          <w:pgNumType w:fmt="decimal"/>
          <w:formProt w:val="false"/>
          <w:textDirection w:val="lrTb"/>
          <w:docGrid w:type="default" w:linePitch="360" w:charSpace="0"/>
        </w:sect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keepLines/>
        <w:spacing w:lineRule="auto" w:line="240" w:before="0" w:after="0"/>
        <w:jc w:val="center"/>
        <w:rPr>
          <w:rFonts w:ascii="Times New Roman" w:hAnsi="Times New Roman" w:cs="Times New Roman"/>
          <w:b/>
          <w:sz w:val="21"/>
          <w:szCs w:val="21"/>
        </w:rPr>
      </w:pPr>
      <w:r>
        <w:rPr>
          <w:rFonts w:cs="Times New Roman" w:ascii="Times New Roman" w:hAnsi="Times New Roman"/>
          <w:b/>
          <w:sz w:val="21"/>
          <w:szCs w:val="21"/>
        </w:rPr>
        <w:t>Таблица отборочных критериев рассмотрения заявки Участника регламентированной процедуры на право заключения договора на Выполнение работ по ремонту турбогенераторов, электротехнического оборудования Архангельской ТЭЦ   (раздел ГКПЗ  2026 г.  ,  РаботыЭнРем , № закупки  2 001)</w:t>
      </w:r>
    </w:p>
    <w:tbl>
      <w:tblPr>
        <w:tblW w:w="11482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6"/>
        <w:gridCol w:w="5440"/>
        <w:gridCol w:w="3670"/>
        <w:gridCol w:w="1716"/>
      </w:tblGrid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 xml:space="preserve">№ </w:t>
            </w: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п/п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Критерий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bookmarkStart w:id="3" w:name="StartTable2"/>
            <w:bookmarkEnd w:id="3"/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Формат оценки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Участник № 1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Отбор (среди всех)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заявки Участника закупки по составу, содержанию и правильности оформления, в том числе: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Письмо о подаче оферты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1.2.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Техническое предложение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1.3.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Календарный план работ/услуг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 / Не применяется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1.4.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График выполнения работ/оказания услуг 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1.5.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Справка об опыте Участника закупки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1.6.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Справка о материально-технических ресурсах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1.7.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Справка о кадровых ресурсах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1.8.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Согласие с предлагаемыми условиями Договора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1.9.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Доверенность, если заявка подписывается лицом, действующим на основании доверенности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 / Не применяется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Не применяется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1.10.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Выписка из единого государственного реестра юридических лиц (если участником закупки является юридическое лицо), выписка из единого государственного реестра индивидуальных предпринимателей (если участником закупки является индивидуальный предприниматель), сформированная с использованием сервиса сайта: https://egrul.nalog.ru не ранее чем за 30 (тридцать) дней до дня размещения в ЕИС извещения о проведении закупки, в качестве подтверждения полномочия лица на осуществление действий (подписания оферты) от имени юридического лица без доверенности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1.11.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Декларация о соответствии Участника закупки обязательным требованиям 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1.12.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План распределения объемов выполнения работ 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 / Не применяется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1.13.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Копия бух.баланса и отчета о фин.результатах за последний завершенный фин.год, с отметкой налогового органа о приеме или, в случае представления отчетности в нал.инспекцию в эл.виде, с приложением квитанции о приеме и (или) извещения о вводе сведений нал.органом, или Копия бухг.(финансовой) отчетности с отметкой нал.органа о приеме или, в случае представления отчетности в налоговую инспекцию в электронном виде, с приложением квитанции о приеме и (или) извещения о вводе сведений налоговым органом (в случае если Участники закупки УСН) или Заверенная подписями руководителя и гл.бухгалтера, а также печатью Участника закупки (при наличии таковой) копия составленной в соответствии с требованиями действующего законодательства РФ промежуточной бухг. (финансовой) отчетности (за последний завершенный квартал) (в случае вновь если Участники закупки, на момент подачи заявки на участие в закупке не предоставлявшие в налоговые органы бухг. (финансовую) отчетность за завершенный финансовый год)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1.14.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Справка об исполнении налогоплательщиком обязанности по уплате налогов, сборов, пеней, штрафов, процентов, выданная территориальным органом ФНС России по форме (код по КНД 1120101) и полученная не ранее чем за один месяц до дня размещения в ЕИС извещения о проведении закупки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1.15.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Справка о наличии по состоянию на дату формирования справки положительного, отрицательного или нулевого сальдо единого налогового счета такого налогоплательщика, плательщика сбора или налогового агента, выданная территориальным органом ФНС России, в том числе в форме электронного документа по форме (код по КНД 1160082) и полученная не ранее чем за один месяц до дня размещения в ЕИС Извещения о проведении закупки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1.16.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Отсутствие недостоверных сведений или намеренно искаженной информации, а также отсутствие внутренних противоречий между документами заявки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1.17.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Отсутствие недостоверных сведений или намеренно искаженной информации, а также отсутствие внутренних противоречий между документами заявки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1.18.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специальным требованиям к Участникам закупки (наличие специальных допусков, лицензий и прочих разрешительных документов, установленных в соответствии с законодательством РФ и касающихся исполнения обязательств по предмету договора; иные дополнительные требования к Участнику и/или изготовителю товара, являющегося предметом закупки) установлены исходя из предмета закупки в Техническом задании Заказчика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заявки Участника закупки требованиям, установленным Документацией и Техническим заданием Заказчика, в том числе: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2.2.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участника требованиям, установленным Техническим заданием, в том числе требованиям к опыту, наличию кадровых и материально-технических ресурсов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2.3.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Коллективного участника закупки,  требованиям, установленным Документацией и Техническим заданием Заказчика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 / Не применяется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Не применяется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2.4.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объёмов и/или состава работ / услуг, предложенных Участником закупки в Техническом предложении /в смете (калькуляции), требованиям, установленным Техническим заданием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2.4.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объёмов и/или состава работ / услуг, предложенных Участником закупки в Техническом предложении /в сметной документации (калькуляции), требованиям, установленным Техническим заданием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2.5.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сроков выполнения работ / оказания услуг, указанным в Техническом задании. (Соответствие Календарного графика требованиям к срокам и этапам реализации договора)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2.6.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требованиям к гарантии на поставляемые материалы / оборудование и результаты выполненных работ (данный пункт применяется только в случае установления соответствующих требований в ТЗ)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 / Не применяется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2.7.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Сводный сметный расчет, сметные расчеты соответствуют опубликованной сметной документации Заказчика (выложенной в формате ПК «Гранд-Смета» и XLS) и предоставлены    в формате PDF и XLS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2.8.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Соответствие страны происхождения национальному режиму в соответствии с Постановлением Правительства РФ №1875 от 23.12.2024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РФ / Не применяется / Импорт / ЕАЭС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РФ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2.9.</w:t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Цена заявки на участие в закупке не превышает начальную (максимальную) цену договора (лота)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 / Не соответствует / .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Соответствует</w:t>
            </w:r>
          </w:p>
        </w:tc>
      </w:tr>
      <w:tr>
        <w:trPr>
          <w:trHeight w:val="284" w:hRule="atLeast"/>
          <w:cantSplit w:val="true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5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Допуск Участника к оценочному этапу</w:t>
            </w:r>
          </w:p>
        </w:tc>
        <w:tc>
          <w:tcPr>
            <w:tcW w:w="3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Допускается / Не допускается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Допускается</w:t>
            </w:r>
          </w:p>
        </w:tc>
      </w:tr>
    </w:tbl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cs="Times New Roman" w:ascii="Times New Roman" w:hAnsi="Times New Roman"/>
          <w:sz w:val="21"/>
          <w:szCs w:val="21"/>
          <w:lang w:val="en-US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cs="Times New Roman" w:ascii="Times New Roman" w:hAnsi="Times New Roman"/>
          <w:sz w:val="21"/>
          <w:szCs w:val="21"/>
          <w:lang w:val="en-US"/>
        </w:rPr>
      </w:r>
    </w:p>
    <w:p>
      <w:pPr>
        <w:pStyle w:val="Normal"/>
        <w:keepNext w:val="true"/>
        <w:keepLines/>
        <w:spacing w:lineRule="auto" w:line="240" w:before="0" w:after="0"/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cs="Times New Roman" w:ascii="Times New Roman" w:hAnsi="Times New Roman"/>
          <w:sz w:val="21"/>
          <w:szCs w:val="21"/>
          <w:lang w:val="en-US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851" w:right="850" w:gutter="0" w:header="708" w:top="764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>
        <w:rFonts w:ascii="Times New Roman" w:hAnsi="Times New Roman" w:eastAsia="Times New Roman" w:cs="Times New Roman"/>
        <w:i/>
        <w:i/>
        <w:sz w:val="20"/>
        <w:szCs w:val="28"/>
        <w:lang w:eastAsia="ru-RU"/>
      </w:rPr>
    </w:pPr>
    <w:r>
      <w:rPr>
        <w:rFonts w:eastAsia="Times New Roman" w:cs="Times New Roman" w:ascii="Times New Roman" w:hAnsi="Times New Roman"/>
        <w:i/>
        <w:sz w:val="20"/>
        <w:szCs w:val="28"/>
        <w:lang w:eastAsia="ru-RU"/>
      </w:rPr>
      <w:t xml:space="preserve">Запрос предложений в электронной форме на выполнение работ по ремонту турбогенераторов, электротехнического оборудования Архангельской ТЭЦ для нужд ПАО «ТГК-2»         </w:t>
    </w:r>
    <w:r>
      <w:rPr>
        <w:rFonts w:eastAsia="Times New Roman" w:cs="Times New Roman" w:ascii="Times New Roman" w:hAnsi="Times New Roman"/>
        <w:i/>
        <w:sz w:val="20"/>
        <w:szCs w:val="20"/>
        <w:lang w:eastAsia="ru-RU"/>
      </w:rPr>
      <w:t>Протокол № Р31/2101-2025/2</w:t>
    </w:r>
  </w:p>
  <w:p>
    <w:pPr>
      <w:pStyle w:val="Footer"/>
      <w:rPr>
        <w:rFonts w:ascii="Times New Roman" w:hAnsi="Times New Roman" w:eastAsia="Times New Roman" w:cs="Times New Roman"/>
        <w:i/>
        <w:i/>
        <w:sz w:val="20"/>
        <w:szCs w:val="28"/>
        <w:lang w:eastAsia="ru-RU"/>
      </w:rPr>
    </w:pPr>
    <w:r>
      <w:rPr>
        <w:rFonts w:eastAsia="Times New Roman" w:cs="Times New Roman" w:ascii="Times New Roman" w:hAnsi="Times New Roman"/>
        <w:i/>
        <w:sz w:val="20"/>
        <w:szCs w:val="28"/>
        <w:lang w:eastAsia="ru-RU"/>
      </w:rPr>
    </w:r>
  </w:p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/>
    </w:pPr>
    <w:r>
      <w:rPr>
        <w:rFonts w:eastAsia="Times New Roman" w:cs="Times New Roman" w:ascii="Times New Roman" w:hAnsi="Times New Roman"/>
        <w:i/>
        <w:sz w:val="20"/>
        <w:szCs w:val="28"/>
        <w:lang w:eastAsia="ru-RU"/>
      </w:rPr>
      <w:t xml:space="preserve">Запрос предложений в электронной форме на выполнение работ по ремонту турбогенераторов, электротехнического оборудования Архангельской ТЭЦ для нужд ПАО «ТГК-2»         </w:t>
    </w:r>
    <w:r>
      <w:rPr>
        <w:rFonts w:eastAsia="Times New Roman" w:cs="Times New Roman" w:ascii="Times New Roman" w:hAnsi="Times New Roman"/>
        <w:i/>
        <w:sz w:val="20"/>
        <w:szCs w:val="20"/>
        <w:lang w:eastAsia="ru-RU"/>
      </w:rPr>
      <w:t>Протокол № Р31/2101-2025/2</w:t>
    </w:r>
  </w:p>
  <w:p>
    <w:pPr>
      <w:pStyle w:val="Footer"/>
      <w:rPr>
        <w:rFonts w:ascii="Times New Roman" w:hAnsi="Times New Roman" w:eastAsia="Times New Roman" w:cs="Times New Roman"/>
        <w:i/>
        <w:i/>
        <w:sz w:val="20"/>
        <w:szCs w:val="28"/>
        <w:lang w:eastAsia="ru-RU"/>
      </w:rPr>
    </w:pPr>
    <w:r>
      <w:rPr>
        <w:rFonts w:eastAsia="Times New Roman" w:cs="Times New Roman" w:ascii="Times New Roman" w:hAnsi="Times New Roman"/>
        <w:i/>
        <w:sz w:val="20"/>
        <w:szCs w:val="28"/>
        <w:lang w:eastAsia="ru-RU"/>
      </w:rPr>
    </w:r>
  </w:p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both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>
      <w:b w:val="false"/>
    </w:rPr>
  </w:style>
  <w:style w:type="character" w:styleId="WW8Num1z1">
    <w:name w:val="WW8Num1z1"/>
    <w:qFormat/>
    <w:rPr>
      <w:b w:val="false"/>
      <w:i w:val="false"/>
      <w:color w:val="000000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sz w:val="22"/>
      <w:szCs w:val="22"/>
    </w:rPr>
  </w:style>
  <w:style w:type="character" w:styleId="Style16">
    <w:name w:val="Нижний колонтитул Знак"/>
    <w:qFormat/>
    <w:rPr>
      <w:sz w:val="22"/>
      <w:szCs w:val="22"/>
    </w:rPr>
  </w:style>
  <w:style w:type="character" w:styleId="Style17">
    <w:name w:val="Абзац списка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8">
    <w:name w:val="комментарий"/>
    <w:qFormat/>
    <w:rPr>
      <w:b/>
      <w:i/>
      <w:shd w:fill="FFFF99" w:val="clear"/>
    </w:rPr>
  </w:style>
  <w:style w:type="character" w:styleId="Style19">
    <w:name w:val="Протокольный стиль Знак"/>
    <w:qFormat/>
    <w:rPr>
      <w:rFonts w:ascii="Times New Roman" w:hAnsi="Times New Roman" w:eastAsia="Times New Roman" w:cs="Times New Roman"/>
      <w:i/>
    </w:rPr>
  </w:style>
  <w:style w:type="character" w:styleId="Style20">
    <w:name w:val="Таблица текст Знак"/>
    <w:qFormat/>
    <w:rPr>
      <w:rFonts w:ascii="Times New Roman" w:hAnsi="Times New Roman" w:eastAsia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>
    <w:name w:val="Абзац списка"/>
    <w:basedOn w:val="Normal"/>
    <w:qFormat/>
    <w:pPr>
      <w:widowControl w:val="false"/>
      <w:autoSpaceDE w:val="false"/>
      <w:spacing w:lineRule="auto" w:line="240" w:before="0" w:after="0"/>
      <w:ind w:hanging="0" w:start="720" w:end="0"/>
      <w:contextualSpacing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Style22">
    <w:name w:val="Протокольный стиль"/>
    <w:basedOn w:val="Footer"/>
    <w:qFormat/>
    <w:pPr>
      <w:pBdr>
        <w:top w:val="single" w:sz="4" w:space="0" w:color="000000"/>
      </w:pBdr>
      <w:spacing w:lineRule="auto" w:line="240" w:before="0" w:after="0"/>
      <w:jc w:val="both"/>
    </w:pPr>
    <w:rPr>
      <w:rFonts w:ascii="Times New Roman" w:hAnsi="Times New Roman" w:eastAsia="Times New Roman" w:cs="Times New Roman"/>
      <w:i/>
      <w:sz w:val="20"/>
      <w:szCs w:val="20"/>
    </w:rPr>
  </w:style>
  <w:style w:type="paragraph" w:styleId="Style23">
    <w:name w:val="Таблица шапка"/>
    <w:basedOn w:val="Normal"/>
    <w:qFormat/>
    <w:pPr>
      <w:keepNext w:val="true"/>
      <w:snapToGrid w:val="false"/>
      <w:spacing w:lineRule="auto" w:line="240" w:before="40" w:after="40"/>
      <w:ind w:hanging="0" w:start="57" w:end="57"/>
    </w:pPr>
    <w:rPr>
      <w:rFonts w:ascii="Times New Roman" w:hAnsi="Times New Roman" w:eastAsia="Times New Roman" w:cs="Times New Roman"/>
      <w:szCs w:val="20"/>
    </w:rPr>
  </w:style>
  <w:style w:type="paragraph" w:styleId="Style24">
    <w:name w:val="Таблица текст"/>
    <w:basedOn w:val="Normal"/>
    <w:qFormat/>
    <w:pPr>
      <w:spacing w:lineRule="auto" w:line="240" w:before="40" w:after="40"/>
      <w:ind w:hanging="0" w:start="57" w:end="57"/>
    </w:pPr>
    <w:rPr>
      <w:rFonts w:ascii="Times New Roman" w:hAnsi="Times New Roman" w:eastAsia="Times New Roman" w:cs="Times New Roman"/>
      <w:sz w:val="24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2025-12-12T06:25:00Z</dcterms:created>
  <dc:creator>Дроздова Наталья Александровна</dc:creator>
  <dc:description/>
  <cp:keywords/>
  <dc:language>en-US</dc:language>
  <cp:lastModifiedBy>Кузнецова Наталия Александровна</cp:lastModifiedBy>
  <dcterms:modified xsi:type="dcterms:W3CDTF">2025-12-15T13:14:00Z</dcterms:modified>
  <cp:revision>3</cp:revision>
  <dc:subject/>
  <dc:title/>
</cp:coreProperties>
</file>