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 w:before="0" w:after="0"/>
        <w:ind w:hanging="0" w:start="0" w:end="0"/>
        <w:jc w:val="center"/>
        <w:rPr/>
      </w:pPr>
      <w:r>
        <w:rPr>
          <w:rFonts w:eastAsia="Calibri" w:cs="Times New Roman" w:ascii="Tinos" w:hAnsi="Tinos"/>
          <w:b/>
          <w:bCs/>
          <w:lang w:eastAsia="en-US" w:bidi="ar-SA"/>
        </w:rPr>
        <w:t>Протокол рассмотрения единственной заявок на участие в запросе котировок</w:t>
      </w:r>
      <w:r>
        <w:rPr>
          <w:rFonts w:eastAsia="Calibri" w:cs="Times New Roman" w:ascii="Tinos" w:hAnsi="Tinos"/>
          <w:b/>
          <w:bCs w:val="false"/>
          <w:lang w:eastAsia="en-US" w:bidi="ar-SA"/>
        </w:rPr>
        <w:t xml:space="preserve"> </w:t>
      </w:r>
    </w:p>
    <w:p>
      <w:pPr>
        <w:pStyle w:val="Normal"/>
        <w:spacing w:lineRule="atLeast" w:line="0" w:before="0" w:after="0"/>
        <w:ind w:hanging="0" w:start="0" w:end="0"/>
        <w:jc w:val="center"/>
        <w:rPr/>
      </w:pPr>
      <w:r>
        <w:rPr>
          <w:rFonts w:ascii="Tinos" w:hAnsi="Tinos"/>
          <w:b/>
        </w:rPr>
        <w:t xml:space="preserve"> №</w:t>
      </w:r>
      <w:r>
        <w:rPr>
          <w:rFonts w:ascii="Tinos" w:hAnsi="Tinos"/>
          <w:b/>
        </w:rPr>
        <w:t>32514535311</w:t>
      </w:r>
    </w:p>
    <w:p>
      <w:pPr>
        <w:pStyle w:val="Normal"/>
        <w:spacing w:lineRule="atLeast" w:line="0" w:before="0" w:after="0"/>
        <w:ind w:hanging="0" w:start="0" w:end="0"/>
        <w:jc w:val="center"/>
        <w:rPr>
          <w:rFonts w:ascii="Tinos" w:hAnsi="Tinos"/>
        </w:rPr>
      </w:pPr>
      <w:r>
        <w:rPr>
          <w:rFonts w:ascii="Tinos" w:hAnsi="Tinos"/>
        </w:rPr>
      </w:r>
    </w:p>
    <w:tbl>
      <w:tblPr>
        <w:tblW w:w="10226" w:type="dxa"/>
        <w:jc w:val="start"/>
        <w:tblInd w:w="-6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4"/>
        <w:gridCol w:w="5132"/>
      </w:tblGrid>
      <w:tr>
        <w:trPr>
          <w:trHeight w:val="100" w:hRule="atLeast"/>
        </w:trPr>
        <w:tc>
          <w:tcPr>
            <w:tcW w:w="5094" w:type="dxa"/>
            <w:tcBorders/>
          </w:tcPr>
          <w:p>
            <w:pPr>
              <w:pStyle w:val="Normal"/>
              <w:tabs>
                <w:tab w:val="clear" w:pos="720"/>
              </w:tabs>
              <w:rPr/>
            </w:pPr>
            <w:r>
              <w:rPr>
                <w:rFonts w:ascii="Tinos" w:hAnsi="Tinos"/>
              </w:rPr>
              <w:t>Место публикации: 650036, Российская Федерация, Кемеровская обл., г. Кемерово, пр-кт Ленина, 107, ОКАТО: 32401000000</w:t>
            </w:r>
          </w:p>
        </w:tc>
        <w:tc>
          <w:tcPr>
            <w:tcW w:w="5132" w:type="dxa"/>
            <w:tcBorders/>
          </w:tcPr>
          <w:p>
            <w:pPr>
              <w:pStyle w:val="Normal"/>
              <w:tabs>
                <w:tab w:val="clear" w:pos="720"/>
              </w:tabs>
              <w:jc w:val="end"/>
              <w:rPr/>
            </w:pPr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t>Дата подписания: 03.03.2025 г.</w:t>
            </w:r>
          </w:p>
        </w:tc>
      </w:tr>
    </w:tbl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 </w:t>
      </w:r>
      <w:r>
        <w:rPr>
          <w:rFonts w:ascii="Tinos" w:hAnsi="Tinos"/>
        </w:rPr>
        <w:br/>
        <w:t xml:space="preserve">        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1. Организатор закупки: ГОСУДАРСТВЕННОЕ АВТОНОМНОЕ УЧРЕЖДЕНИЕ ЗДРАВООХРАНЕНИЯ «КЕМЕРОВСКАЯ ГОРОДСКАЯ КЛИНИЧЕСКАЯ ПОЛИКЛИНИКА № 5 ИМЕНИ Л.И. ТЕМЕРХАНОВОЙ»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2. Запрос котировок в электронной форме проводится в соответствии с Положением о закупке товаров, работ, услуг ГАУЗ КГКП №5. 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Заказчик (и), заключающие договор:ГОСУДАРСТВЕННОЕ АВТОНОМНОЕ УЧРЕЖДЕНИЕ ЗДРАВООХРАНЕНИЯ «КЕМЕРОВСКАЯ ГОРОДСКАЯ КЛИНИЧЕСКАЯ ПОЛИКЛИНИКА № 5 ИМЕНИ Л.И. ТЕМЕРХАНОВОЙ»   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3. Контактное лицо: Шаламова Светлана Владимировна, 3842 540370, kem-pol5-res@yandex.ru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4. Наименование закупки: Поставка    стеклографов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5. Номер лота: 1 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6. Наименование предмета договора:Поставка    стеклографов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7. Сведения о сроке исполнения договора:   Поставка товара осуществляется   со дня следующего за днем  заключения договора в течение 30 рабочих дней.    Расчеты между Заказчиком и Поставщиком производятся после поставки товара путем перечисления денежных средств на расчетный счет Поставщика в течение  7 рабочих дней с момента  подписания Заказчиком и Поставщиком универсального передаточного документа/товарной накладной. Общий срок исполнения договора по 07.05.2025 г.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8. Срок предоставления документации:    с 20.02.2025 по 28.02.2025 г 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9. Дата начала подачи заявок:20.02.2025 12:31 (МСК)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10. Дата рассмотрения заявок:03.03.2025 04:00 (МСК)     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11. Место рассмотрения заявок: 650036, Российская Федерация, Кемеровская обл., г. Кемерово, пр-кт Ленина, 107, ОКАТО: 32401000000.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12. Классификация товаров, работ, услуг:     </w:t>
        <w:br/>
      </w:r>
    </w:p>
    <w:tbl>
      <w:tblPr>
        <w:tblW w:w="10225" w:type="dxa"/>
        <w:jc w:val="start"/>
        <w:tblInd w:w="-6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41"/>
        <w:gridCol w:w="3079"/>
        <w:gridCol w:w="2053"/>
        <w:gridCol w:w="2052"/>
      </w:tblGrid>
      <w:tr>
        <w:trPr>
          <w:trHeight w:val="100" w:hRule="atLeast"/>
        </w:trPr>
        <w:tc>
          <w:tcPr>
            <w:tcW w:w="3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Классификация по ОКПД2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Классификация по ОКВЭД2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Единица измерения    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Количество (объем)    </w:t>
            </w:r>
            <w:r>
              <w:rPr>
                <w:rFonts w:ascii="Tinos" w:hAnsi="Tinos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32.99.12.120 Ручки и маркеры с наконечником из фетра и прочих пористых материалов </w:t>
              <w:br/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32.99 Производство прочих готовых изделий, не включенных в другие группировки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ШТ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100.00000          </w:t>
              <w:br/>
            </w:r>
          </w:p>
        </w:tc>
      </w:tr>
      <w:tr>
        <w:trPr>
          <w:trHeight w:val="100" w:hRule="atLeast"/>
        </w:trPr>
        <w:tc>
          <w:tcPr>
            <w:tcW w:w="3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32.99.12.120 Ручки и маркеры с наконечником из фетра и прочих пористых материалов </w:t>
              <w:br/>
            </w:r>
          </w:p>
        </w:tc>
        <w:tc>
          <w:tcPr>
            <w:tcW w:w="3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32.99 Производство прочих готовых изделий, не включенных в другие группировки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ШТ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100.00000          </w:t>
              <w:br/>
            </w:r>
          </w:p>
        </w:tc>
      </w:tr>
    </w:tbl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 </w:t>
      </w:r>
      <w:r>
        <w:rPr>
          <w:rFonts w:ascii="Tinos" w:hAnsi="Tinos"/>
        </w:rPr>
        <w:br/>
        <w:t xml:space="preserve">        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13. Начальная (максимальная) цена договора: 36 900,00 руб.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14. Состав комиссии.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На заседании комиссии по рассмотрению заявок на участие в запросе котировок присутствовали: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15. </w:t>
        <w:br/>
      </w:r>
    </w:p>
    <w:tbl>
      <w:tblPr>
        <w:tblW w:w="10227" w:type="dxa"/>
        <w:jc w:val="start"/>
        <w:tblInd w:w="-6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069"/>
        <w:gridCol w:w="3076"/>
        <w:gridCol w:w="3082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Член комиссии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Роль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Статус </w:t>
            </w:r>
            <w:r>
              <w:rPr>
                <w:rFonts w:ascii="Tinos" w:hAnsi="Tinos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Первушина Анастасия Константиновна 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Председатель комиссии 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br/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Постникова Нина Викторовна 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br/>
              <w:t xml:space="preserve"> </w:t>
            </w:r>
          </w:p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отсутствовал</w:t>
            </w:r>
          </w:p>
          <w:p>
            <w:pPr>
              <w:pStyle w:val="Normal"/>
              <w:tabs>
                <w:tab w:val="clear" w:pos="720"/>
              </w:tabs>
              <w:jc w:val="center"/>
              <w:rPr>
                <w:rFonts w:ascii="Tinos" w:hAnsi="Tinos"/>
              </w:rPr>
            </w:pPr>
            <w:r>
              <w:rPr>
                <w:rFonts w:ascii="Tinos" w:hAnsi="Tinos"/>
              </w:rPr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Ломова Виктория Валерьевна 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br/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Крючкова Валентина Владимировна 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br/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Вебер Наталья Викторовна</w:t>
            </w:r>
          </w:p>
          <w:p>
            <w:pPr>
              <w:pStyle w:val="Normal"/>
              <w:tabs>
                <w:tab w:val="clear" w:pos="720"/>
              </w:tabs>
              <w:jc w:val="center"/>
              <w:rPr>
                <w:rFonts w:ascii="Tinos" w:hAnsi="Tinos"/>
              </w:rPr>
            </w:pPr>
            <w:r>
              <w:rPr>
                <w:rFonts w:ascii="Tinos" w:hAnsi="Tinos"/>
              </w:rPr>
            </w:r>
          </w:p>
        </w:tc>
        <w:tc>
          <w:tcPr>
            <w:tcW w:w="3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Чивкина Светлана Евгеньевна  </w:t>
              <w:br/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Секретарь комиссии 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/>
            </w:pPr>
            <w:r>
              <w:rPr>
                <w:rFonts w:ascii="Tinos" w:hAnsi="Tinos"/>
              </w:rPr>
              <w:t>Курепина Татьяна Александровна</w:t>
            </w:r>
          </w:p>
        </w:tc>
        <w:tc>
          <w:tcPr>
            <w:tcW w:w="3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отсутствовал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/>
            </w:pPr>
            <w:r>
              <w:rPr>
                <w:rFonts w:ascii="Tinos" w:hAnsi="Tinos"/>
              </w:rPr>
              <w:t>Тренихин Евгений Алексеевич</w:t>
            </w:r>
          </w:p>
        </w:tc>
        <w:tc>
          <w:tcPr>
            <w:tcW w:w="3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Член комиссии  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отсутствовал</w:t>
            </w:r>
          </w:p>
        </w:tc>
      </w:tr>
    </w:tbl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 </w:t>
      </w:r>
      <w:r>
        <w:rPr>
          <w:rFonts w:ascii="Tinos" w:hAnsi="Tinos"/>
        </w:rPr>
        <w:br/>
        <w:t xml:space="preserve">        Всего на заседании присутствовало 5 члена (ов) комиссии. Кворум имеется. Заседание правомочно.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16. На момент окончания срока подачи заявок на участие в запросе котировок были поданы следующие заявки: </w:t>
      </w:r>
    </w:p>
    <w:tbl>
      <w:tblPr>
        <w:tblW w:w="10225" w:type="dxa"/>
        <w:jc w:val="start"/>
        <w:tblInd w:w="-6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03"/>
        <w:gridCol w:w="1537"/>
        <w:gridCol w:w="1539"/>
        <w:gridCol w:w="2566"/>
        <w:gridCol w:w="1233"/>
        <w:gridCol w:w="1847"/>
      </w:tblGrid>
      <w:tr>
        <w:trPr>
          <w:trHeight w:val="100" w:hRule="atLeast"/>
        </w:trPr>
        <w:tc>
          <w:tcPr>
            <w:tcW w:w="1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Порядковый номер заявки 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Дата и время подачи заявки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Ценовое предложение 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Наименование участника закупки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Результат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Страна производителя</w:t>
            </w:r>
            <w:r>
              <w:rPr>
                <w:rFonts w:ascii="Tinos" w:hAnsi="Tinos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1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Участник №1 </w:t>
              <w:br/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26.02.2025 11:58 (МСК)          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15 000,00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ОБЩЕСТВО С ОГРАНИЧЕННОЙ ОТВЕТСТВЕННОСТЬЮ "КОНВЕРТ-СЕРВИС М" </w:t>
              <w:br/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победитель </w:t>
              <w:br/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Ин государство  </w:t>
              <w:br/>
            </w:r>
          </w:p>
        </w:tc>
      </w:tr>
    </w:tbl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 </w:t>
      </w:r>
      <w:r>
        <w:rPr>
          <w:rFonts w:ascii="Tinos" w:hAnsi="Tinos"/>
        </w:rPr>
        <w:br/>
        <w:t xml:space="preserve">        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17. Комиссия рассмотрела заявки, поданные на участие в закупке, и приняла решение:  </w:t>
        <w:br/>
      </w:r>
    </w:p>
    <w:tbl>
      <w:tblPr>
        <w:tblW w:w="10227" w:type="dxa"/>
        <w:jc w:val="start"/>
        <w:tblInd w:w="-6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14"/>
        <w:gridCol w:w="3082"/>
        <w:gridCol w:w="5131"/>
      </w:tblGrid>
      <w:tr>
        <w:trPr>
          <w:trHeight w:val="100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 xml:space="preserve">Порядковый номер заявки 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Решение о соответствии или несоответствии заявки на участие требованиям</w:t>
            </w:r>
            <w:r>
              <w:rPr>
                <w:rFonts w:ascii="Tinos" w:hAnsi="Tinos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  <w:b/>
              </w:rPr>
              <w:t>Основание для решения</w:t>
            </w:r>
            <w:r>
              <w:rPr>
                <w:rFonts w:ascii="Tinos" w:hAnsi="Tinos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>1</w:t>
              <w:br/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ascii="Tinos" w:hAnsi="Tinos"/>
              </w:rPr>
              <w:t xml:space="preserve">Допущен 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jc w:val="center"/>
              <w:rPr/>
            </w:pPr>
            <w:r>
              <w:rPr>
                <w:rFonts w:cs="Times New Roman" w:ascii="Tinos" w:hAnsi="Tinos"/>
                <w:bCs/>
              </w:rPr>
              <w:t>Заявка участника закупки и участник закупки  соответствует  требованиям, установленным  в извещении  о проведении запроса котировок в электронной форме</w:t>
            </w:r>
            <w:r>
              <w:rPr>
                <w:rFonts w:ascii="Tinos" w:hAnsi="Tinos"/>
              </w:rPr>
              <w:t xml:space="preserve"> </w:t>
              <w:br/>
              <w:br/>
            </w:r>
          </w:p>
        </w:tc>
      </w:tr>
    </w:tbl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 </w:t>
      </w:r>
      <w:r>
        <w:rPr>
          <w:rFonts w:ascii="Tinos" w:hAnsi="Tinos"/>
        </w:rPr>
        <w:br/>
        <w:t xml:space="preserve">        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18. Запрос котировок признан не состоявшимся.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19. Обоснование принятого решения: Запрос котировок признается несостоявшимся, </w:t>
      </w:r>
      <w:r>
        <w:rPr>
          <w:rFonts w:cs="Times New Roman" w:ascii="Tinos" w:hAnsi="Tinos"/>
        </w:rPr>
        <w:t>в соответствии с пунктом 17.3. раздела 10 главы 1 Положения о закупках товаров, работ, услуг для нужд ГАУЗ КГКП №5: подана только одна заявка на участие  в запросе котировок в электронной форме.</w:t>
      </w:r>
      <w:r>
        <w:rPr>
          <w:rFonts w:ascii="Tinos" w:hAnsi="Tinos"/>
        </w:rPr>
        <w:t xml:space="preserve">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20. Заказчик заключает договор с ОБЩЕСТВО С ОГРАНИЧЕННОЙ ОТВЕТСТВЕННОСТЬЮ "КОНВЕРТ-СЕРВИС М"    по цене не выше, чем предложена в заявке участника    15 000,00    руб., а также на условиях, указанных в заявке на участие в запросе котировок в электронной форме, и в извещении о проведении запроса котировок в электронной форме.   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21. Настоящий протокол подлежит размещению в ЕИС на сайте www.zakupki.gov.ru. </w:t>
      </w:r>
      <w:r>
        <w:rPr>
          <w:rFonts w:eastAsia="Calibri" w:cs="Times New Roman" w:ascii="Tinos" w:hAnsi="Tinos"/>
          <w:b w:val="false"/>
          <w:bCs w:val="false"/>
          <w:lang w:eastAsia="en-US" w:bidi="ar-SA"/>
        </w:rPr>
        <w:t xml:space="preserve">Протокол рассмотрения единственной заявок на участие в запросе котировок </w:t>
      </w:r>
      <w:r>
        <w:rPr>
          <w:rFonts w:ascii="Tinos" w:hAnsi="Tinos"/>
        </w:rPr>
        <w:t xml:space="preserve"> подписан всеми присутствующими на заседании членами комиссии:  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              </w:t>
      </w:r>
    </w:p>
    <w:p>
      <w:pPr>
        <w:pStyle w:val="Normal"/>
        <w:spacing w:lineRule="atLeast" w:line="0" w:before="0" w:after="0"/>
        <w:ind w:hanging="0" w:start="0" w:end="0"/>
        <w:jc w:val="both"/>
        <w:rPr/>
      </w:pPr>
      <w:r>
        <w:rPr>
          <w:rFonts w:ascii="Tinos" w:hAnsi="Tinos"/>
        </w:rPr>
        <w:t xml:space="preserve">      </w:t>
      </w:r>
    </w:p>
    <w:p>
      <w:pPr>
        <w:pStyle w:val="Normal"/>
        <w:rPr>
          <w:rFonts w:ascii="Tinos" w:hAnsi="Tinos"/>
        </w:rPr>
      </w:pPr>
      <w:r>
        <w:rPr>
          <w:rFonts w:ascii="Tinos" w:hAnsi="Tinos"/>
        </w:rPr>
      </w:r>
    </w:p>
    <w:tbl>
      <w:tblPr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8"/>
        <w:gridCol w:w="2980"/>
        <w:gridCol w:w="2693"/>
      </w:tblGrid>
      <w:tr>
        <w:trPr/>
        <w:tc>
          <w:tcPr>
            <w:tcW w:w="4108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Член комиссии</w:t>
            </w:r>
          </w:p>
        </w:tc>
        <w:tc>
          <w:tcPr>
            <w:tcW w:w="2980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tabs>
                <w:tab w:val="clear" w:pos="720"/>
              </w:tabs>
              <w:ind w:hanging="0" w:start="0" w:end="114"/>
              <w:jc w:val="center"/>
              <w:rPr>
                <w:rFonts w:ascii="Tinos" w:hAnsi="Tinos" w:cs="Times New Roman"/>
              </w:rPr>
            </w:pPr>
            <w:r>
              <w:rPr>
                <w:rFonts w:cs="Times New Roman" w:ascii="Tinos" w:hAnsi="Tinos"/>
              </w:rPr>
            </w:r>
          </w:p>
          <w:p>
            <w:pPr>
              <w:pStyle w:val="Normal"/>
              <w:tabs>
                <w:tab w:val="clear" w:pos="720"/>
              </w:tabs>
              <w:spacing w:before="0" w:after="200"/>
              <w:ind w:hanging="0" w:start="0" w:end="114"/>
              <w:jc w:val="center"/>
              <w:rPr/>
            </w:pPr>
            <w:r>
              <w:rPr>
                <w:rFonts w:cs="Times New Roman" w:ascii="Tinos" w:hAnsi="Tinos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Вебер Наталья Викторовна</w:t>
            </w:r>
          </w:p>
        </w:tc>
      </w:tr>
      <w:tr>
        <w:trPr/>
        <w:tc>
          <w:tcPr>
            <w:tcW w:w="4108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Секретарь комиссии (без права голоса)</w:t>
            </w:r>
          </w:p>
        </w:tc>
        <w:tc>
          <w:tcPr>
            <w:tcW w:w="2980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tabs>
                <w:tab w:val="clear" w:pos="720"/>
              </w:tabs>
              <w:ind w:hanging="0" w:start="0" w:end="114"/>
              <w:jc w:val="center"/>
              <w:rPr>
                <w:rFonts w:ascii="Tinos" w:hAnsi="Tinos" w:cs="Times New Roman"/>
              </w:rPr>
            </w:pPr>
            <w:r>
              <w:rPr>
                <w:rFonts w:cs="Times New Roman" w:ascii="Tinos" w:hAnsi="Tinos"/>
              </w:rPr>
            </w:r>
          </w:p>
          <w:p>
            <w:pPr>
              <w:pStyle w:val="Normal"/>
              <w:tabs>
                <w:tab w:val="clear" w:pos="720"/>
              </w:tabs>
              <w:spacing w:before="0" w:after="200"/>
              <w:ind w:hanging="0" w:start="0" w:end="114"/>
              <w:jc w:val="center"/>
              <w:rPr/>
            </w:pPr>
            <w:r>
              <w:rPr>
                <w:rFonts w:cs="Times New Roman" w:ascii="Tinos" w:hAnsi="Tinos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Чивкина Светлана Евгеньевна</w:t>
            </w:r>
          </w:p>
        </w:tc>
      </w:tr>
      <w:tr>
        <w:trPr/>
        <w:tc>
          <w:tcPr>
            <w:tcW w:w="4108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Член комиссии</w:t>
            </w:r>
          </w:p>
        </w:tc>
        <w:tc>
          <w:tcPr>
            <w:tcW w:w="2980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tabs>
                <w:tab w:val="clear" w:pos="720"/>
              </w:tabs>
              <w:ind w:hanging="0" w:start="0" w:end="114"/>
              <w:jc w:val="center"/>
              <w:rPr>
                <w:rFonts w:ascii="Tinos" w:hAnsi="Tinos" w:cs="Times New Roman"/>
              </w:rPr>
            </w:pPr>
            <w:r>
              <w:rPr>
                <w:rFonts w:cs="Times New Roman" w:ascii="Tinos" w:hAnsi="Tinos"/>
              </w:rPr>
            </w:r>
          </w:p>
          <w:p>
            <w:pPr>
              <w:pStyle w:val="Normal"/>
              <w:tabs>
                <w:tab w:val="clear" w:pos="720"/>
              </w:tabs>
              <w:spacing w:before="0" w:after="200"/>
              <w:ind w:hanging="0" w:start="0" w:end="114"/>
              <w:jc w:val="center"/>
              <w:rPr/>
            </w:pPr>
            <w:r>
              <w:rPr>
                <w:rFonts w:cs="Times New Roman" w:ascii="Tinos" w:hAnsi="Tinos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 xml:space="preserve">Крючкова Валентина Владимировна </w:t>
            </w:r>
          </w:p>
        </w:tc>
      </w:tr>
      <w:tr>
        <w:trPr/>
        <w:tc>
          <w:tcPr>
            <w:tcW w:w="4108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Член комиссии</w:t>
            </w:r>
          </w:p>
        </w:tc>
        <w:tc>
          <w:tcPr>
            <w:tcW w:w="2980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tabs>
                <w:tab w:val="clear" w:pos="720"/>
              </w:tabs>
              <w:ind w:hanging="0" w:start="0" w:end="114"/>
              <w:jc w:val="center"/>
              <w:rPr>
                <w:rFonts w:ascii="Tinos" w:hAnsi="Tinos" w:cs="Times New Roman"/>
              </w:rPr>
            </w:pPr>
            <w:r>
              <w:rPr>
                <w:rFonts w:cs="Times New Roman" w:ascii="Tinos" w:hAnsi="Tinos"/>
              </w:rPr>
            </w:r>
          </w:p>
          <w:p>
            <w:pPr>
              <w:pStyle w:val="Normal"/>
              <w:tabs>
                <w:tab w:val="clear" w:pos="720"/>
              </w:tabs>
              <w:spacing w:before="0" w:after="200"/>
              <w:ind w:hanging="0" w:start="0" w:end="114"/>
              <w:jc w:val="center"/>
              <w:rPr/>
            </w:pPr>
            <w:r>
              <w:rPr>
                <w:rFonts w:cs="Times New Roman" w:ascii="Tinos" w:hAnsi="Tinos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Ломова Виктория Валерьевна</w:t>
            </w:r>
          </w:p>
        </w:tc>
      </w:tr>
      <w:tr>
        <w:trPr/>
        <w:tc>
          <w:tcPr>
            <w:tcW w:w="4108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Председатель комиссии</w:t>
            </w:r>
          </w:p>
        </w:tc>
        <w:tc>
          <w:tcPr>
            <w:tcW w:w="2980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tabs>
                <w:tab w:val="clear" w:pos="720"/>
              </w:tabs>
              <w:ind w:hanging="0" w:start="0" w:end="114"/>
              <w:jc w:val="center"/>
              <w:rPr>
                <w:rFonts w:ascii="Tinos" w:hAnsi="Tinos" w:cs="Times New Roman"/>
              </w:rPr>
            </w:pPr>
            <w:r>
              <w:rPr>
                <w:rFonts w:cs="Times New Roman" w:ascii="Tinos" w:hAnsi="Tinos"/>
              </w:rPr>
            </w:r>
          </w:p>
          <w:p>
            <w:pPr>
              <w:pStyle w:val="Normal"/>
              <w:tabs>
                <w:tab w:val="clear" w:pos="720"/>
              </w:tabs>
              <w:spacing w:before="0" w:after="200"/>
              <w:ind w:hanging="0" w:start="0" w:end="114"/>
              <w:jc w:val="center"/>
              <w:rPr/>
            </w:pPr>
            <w:r>
              <w:rPr>
                <w:rFonts w:cs="Times New Roman" w:ascii="Tinos" w:hAnsi="Tinos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tabs>
                <w:tab w:val="clear" w:pos="720"/>
              </w:tabs>
              <w:spacing w:before="0" w:after="200"/>
              <w:rPr/>
            </w:pPr>
            <w:r>
              <w:rPr>
                <w:rFonts w:ascii="Tinos" w:hAnsi="Tinos"/>
              </w:rPr>
              <w:t>Первушина Анастасия Константиновна</w:t>
            </w:r>
          </w:p>
        </w:tc>
      </w:tr>
    </w:tbl>
    <w:p>
      <w:pPr>
        <w:pStyle w:val="Normal"/>
        <w:rPr>
          <w:rFonts w:ascii="Tinos" w:hAnsi="Tinos"/>
        </w:rPr>
      </w:pPr>
      <w:r>
        <w:rPr>
          <w:rFonts w:ascii="Tinos" w:hAnsi="Tinos"/>
        </w:rPr>
      </w:r>
    </w:p>
    <w:sectPr>
      <w:type w:val="nextPage"/>
      <w:pgSz w:w="11906" w:h="16838"/>
      <w:pgMar w:left="1077" w:right="567" w:gutter="0" w:header="0" w:top="403" w:footer="0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T Astra Serif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no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start"/>
    </w:pPr>
    <w:rPr>
      <w:rFonts w:ascii="PT Astra Serif" w:hAnsi="PT Astra Serif" w:eastAsia="Tahoma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qFormat/>
    <w:pPr>
      <w:keepNext w:val="true"/>
      <w:widowControl w:val="false"/>
      <w:suppressAutoHyphens w:val="true"/>
      <w:bidi w:val="0"/>
      <w:spacing w:before="240" w:after="120"/>
      <w:jc w:val="start"/>
    </w:pPr>
    <w:rPr>
      <w:rFonts w:ascii="PT Astra Serif" w:hAnsi="PT Astra Serif" w:eastAsia="Tahoma" w:cs="Noto Sans Devanagari"/>
      <w:color w:val="auto"/>
      <w:kern w:val="2"/>
      <w:sz w:val="28"/>
      <w:szCs w:val="28"/>
      <w:lang w:val="ru-RU" w:eastAsia="zh-CN" w:bidi="hi-IN"/>
    </w:rPr>
  </w:style>
  <w:style w:type="paragraph" w:styleId="Style15">
    <w:name w:val="Основной текст"/>
    <w:basedOn w:val="Normal"/>
    <w:qFormat/>
    <w:pPr>
      <w:widowControl w:val="false"/>
      <w:suppressAutoHyphens w:val="true"/>
      <w:bidi w:val="0"/>
      <w:spacing w:lineRule="auto" w:line="276" w:before="0" w:after="140"/>
      <w:jc w:val="start"/>
    </w:pPr>
    <w:rPr>
      <w:rFonts w:ascii="PT Astra Serif" w:hAnsi="PT Astra Serif" w:eastAsia="Tahoma" w:cs="Noto Sans Devanagari"/>
      <w:color w:val="auto"/>
      <w:kern w:val="2"/>
      <w:sz w:val="24"/>
      <w:szCs w:val="24"/>
      <w:lang w:val="ru-RU" w:eastAsia="zh-CN" w:bidi="hi-IN"/>
    </w:rPr>
  </w:style>
  <w:style w:type="paragraph" w:styleId="Style16">
    <w:name w:val="Список"/>
    <w:basedOn w:val="Style15"/>
    <w:qFormat/>
    <w:pPr>
      <w:widowControl w:val="false"/>
      <w:suppressAutoHyphens w:val="true"/>
      <w:bidi w:val="0"/>
      <w:spacing w:lineRule="auto" w:line="276" w:before="0" w:after="140"/>
      <w:jc w:val="start"/>
    </w:pPr>
    <w:rPr>
      <w:rFonts w:ascii="PT Astra Serif" w:hAnsi="PT Astra Serif" w:eastAsia="Tahoma" w:cs="Noto Sans Devanagari"/>
      <w:color w:val="auto"/>
      <w:kern w:val="2"/>
      <w:sz w:val="24"/>
      <w:szCs w:val="24"/>
      <w:lang w:val="ru-RU" w:eastAsia="zh-CN" w:bidi="hi-IN"/>
    </w:rPr>
  </w:style>
  <w:style w:type="paragraph" w:styleId="Style17">
    <w:name w:val="Название"/>
    <w:basedOn w:val="Normal"/>
    <w:qFormat/>
    <w:pPr>
      <w:widowControl w:val="false"/>
      <w:suppressAutoHyphens w:val="true"/>
      <w:bidi w:val="0"/>
      <w:spacing w:before="120" w:after="120"/>
      <w:jc w:val="start"/>
    </w:pPr>
    <w:rPr>
      <w:rFonts w:ascii="PT Astra Serif" w:hAnsi="PT Astra Serif" w:eastAsia="Tahoma" w:cs="Noto Sans Devanagari"/>
      <w:i/>
      <w:iCs/>
      <w:color w:val="auto"/>
      <w:kern w:val="2"/>
      <w:sz w:val="24"/>
      <w:szCs w:val="24"/>
      <w:lang w:val="ru-RU" w:eastAsia="zh-CN" w:bidi="hi-IN"/>
    </w:rPr>
  </w:style>
  <w:style w:type="paragraph" w:styleId="Style18">
    <w:name w:val="Указатель"/>
    <w:basedOn w:val="Normal"/>
    <w:qFormat/>
    <w:pPr>
      <w:widowControl w:val="false"/>
      <w:suppressAutoHyphens w:val="true"/>
      <w:bidi w:val="0"/>
      <w:jc w:val="start"/>
    </w:pPr>
    <w:rPr>
      <w:rFonts w:ascii="PT Astra Serif" w:hAnsi="PT Astra Serif" w:eastAsia="Tahoma" w:cs="Noto Sans Devanagari"/>
      <w:color w:val="auto"/>
      <w:kern w:val="2"/>
      <w:sz w:val="24"/>
      <w:szCs w:val="24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lastPrinted>2025-03-03T13:15:00Z</cp:lastPrinted>
  <dcterms:modified xsi:type="dcterms:W3CDTF">2025-03-03T13:15:00Z</dcterms:modified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