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media/image1.jpeg" ContentType="image/jpeg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tabs>
          <w:tab w:val="clear" w:pos="567"/>
          <w:tab w:val="left" w:pos="5220" w:leader="none"/>
        </w:tabs>
        <w:ind w:hanging="0" w:end="0"/>
        <w:rPr>
          <w:sz w:val="6"/>
          <w:szCs w:val="16"/>
        </w:rPr>
      </w:pPr>
      <w:r>
        <w:rPr>
          <w:sz w:val="16"/>
          <w:szCs w:val="16"/>
        </w:rPr>
        <w:softHyphen/>
      </w:r>
      <w:r>
        <w:rPr>
          <w:lang w:val="en-US" w:eastAsia="en-US"/>
        </w:rPr>
        <w:drawing>
          <wp:inline distT="0" distB="0" distL="0" distR="0">
            <wp:extent cx="1606550" cy="732155"/>
            <wp:effectExtent l="0" t="0" r="0" b="0"/>
            <wp:docPr id="1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8585" t="21491" r="5298" b="228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6550" cy="7321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lang w:val="en-US" w:eastAsia="en-US"/>
        </w:rPr>
        <w:tab/>
      </w:r>
      <w:r>
        <mc:AlternateContent>
          <mc:Choice Requires="wps">
            <w:drawing>
              <wp:anchor behindDoc="0" distT="45720" distB="45720" distL="114935" distR="114935" simplePos="0" locked="0" layoutInCell="0" allowOverlap="1" relativeHeight="3">
                <wp:simplePos x="0" y="0"/>
                <wp:positionH relativeFrom="margin">
                  <wp:posOffset>4090035</wp:posOffset>
                </wp:positionH>
                <wp:positionV relativeFrom="paragraph">
                  <wp:posOffset>-19685</wp:posOffset>
                </wp:positionV>
                <wp:extent cx="2406015" cy="806450"/>
                <wp:effectExtent l="0" t="0" r="0" b="0"/>
                <wp:wrapSquare wrapText="bothSides"/>
                <wp:docPr id="2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06015" cy="80645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lineRule="auto" w:line="240" w:before="0" w:after="0"/>
                              <w:ind w:hanging="0" w:end="0"/>
                              <w:contextualSpacing/>
                              <w:jc w:val="center"/>
                              <w:rPr>
                                <w:rFonts w:ascii="PF Din Text Cond Pro Light" w:hAnsi="PF Din Text Cond Pro Light" w:cs="PF Din Text Cond Pro Light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="PF Din Text Cond Pro Light" w:ascii="PF Din Text Cond Pro Light" w:hAnsi="PF Din Text Cond Pro Light"/>
                                <w:sz w:val="18"/>
                                <w:szCs w:val="18"/>
                              </w:rPr>
                              <w:t>Публичное акционерное общество</w:t>
                            </w:r>
                          </w:p>
                          <w:p>
                            <w:pPr>
                              <w:pStyle w:val="Normal"/>
                              <w:spacing w:lineRule="auto" w:line="240" w:before="0" w:after="0"/>
                              <w:ind w:hanging="0" w:end="0"/>
                              <w:contextualSpacing/>
                              <w:jc w:val="center"/>
                              <w:rPr>
                                <w:rFonts w:ascii="PF Din Text Cond Pro Light" w:hAnsi="PF Din Text Cond Pro Light" w:cs="PF Din Text Cond Pro Light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="PF Din Text Cond Pro Light" w:ascii="PF Din Text Cond Pro Light" w:hAnsi="PF Din Text Cond Pro Light"/>
                                <w:sz w:val="18"/>
                                <w:szCs w:val="18"/>
                              </w:rPr>
                              <w:t>«Россети Центр»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189.45pt;height:63.5pt;mso-wrap-distance-left:9.05pt;mso-wrap-distance-right:9.05pt;mso-wrap-distance-top:3.6pt;mso-wrap-distance-bottom:3.6pt;margin-top:-1.55pt;mso-position-vertical-relative:text;margin-left:322.05pt;mso-position-horizontal-relative:margin">
                <v:fill opacity="0f"/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spacing w:lineRule="auto" w:line="240" w:before="0" w:after="0"/>
                        <w:ind w:hanging="0" w:end="0"/>
                        <w:contextualSpacing/>
                        <w:jc w:val="center"/>
                        <w:rPr>
                          <w:rFonts w:ascii="PF Din Text Cond Pro Light" w:hAnsi="PF Din Text Cond Pro Light" w:cs="PF Din Text Cond Pro Light"/>
                          <w:sz w:val="18"/>
                          <w:szCs w:val="18"/>
                        </w:rPr>
                      </w:pPr>
                      <w:r>
                        <w:rPr>
                          <w:rFonts w:cs="PF Din Text Cond Pro Light" w:ascii="PF Din Text Cond Pro Light" w:hAnsi="PF Din Text Cond Pro Light"/>
                          <w:sz w:val="18"/>
                          <w:szCs w:val="18"/>
                        </w:rPr>
                        <w:t>Публичное акционерное общество</w:t>
                      </w:r>
                    </w:p>
                    <w:p>
                      <w:pPr>
                        <w:pStyle w:val="Normal"/>
                        <w:spacing w:lineRule="auto" w:line="240" w:before="0" w:after="0"/>
                        <w:ind w:hanging="0" w:end="0"/>
                        <w:contextualSpacing/>
                        <w:jc w:val="center"/>
                        <w:rPr>
                          <w:rFonts w:ascii="PF Din Text Cond Pro Light" w:hAnsi="PF Din Text Cond Pro Light" w:cs="PF Din Text Cond Pro Light"/>
                          <w:sz w:val="18"/>
                          <w:szCs w:val="18"/>
                        </w:rPr>
                      </w:pPr>
                      <w:r>
                        <w:rPr>
                          <w:rFonts w:cs="PF Din Text Cond Pro Light" w:ascii="PF Din Text Cond Pro Light" w:hAnsi="PF Din Text Cond Pro Light"/>
                          <w:sz w:val="18"/>
                          <w:szCs w:val="18"/>
                        </w:rPr>
                        <w:t>«Россети Центр»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>
      <w:pPr>
        <w:pStyle w:val="Normal"/>
        <w:ind w:hanging="0" w:end="0"/>
        <w:rPr>
          <w:sz w:val="2"/>
          <w:szCs w:val="16"/>
        </w:rPr>
      </w:pPr>
      <w:r>
        <w:rPr>
          <w:sz w:val="2"/>
          <w:szCs w:val="16"/>
        </w:rPr>
      </w:r>
    </w:p>
    <w:p>
      <w:pPr>
        <w:pStyle w:val="Style34"/>
        <w:spacing w:lineRule="auto" w:line="240"/>
        <w:jc w:val="center"/>
        <w:rPr>
          <w:rFonts w:ascii="PF Din Text Cond Pro Light" w:hAnsi="PF Din Text Cond Pro Light" w:cs="PF Din Text Cond Pro Light"/>
          <w:sz w:val="22"/>
          <w:szCs w:val="22"/>
        </w:rPr>
      </w:pPr>
      <w:r>
        <w:rPr>
          <w:rFonts w:cs="PF Din Text Cond Pro Light" w:ascii="PF Din Text Cond Pro Light" w:hAnsi="PF Din Text Cond Pro Light"/>
          <w:sz w:val="22"/>
          <w:szCs w:val="22"/>
        </w:rPr>
      </w:r>
    </w:p>
    <w:p>
      <w:pPr>
        <w:pStyle w:val="Style34"/>
        <w:spacing w:lineRule="auto" w:line="240"/>
        <w:jc w:val="center"/>
        <w:rPr>
          <w:rFonts w:ascii="Helios" w:hAnsi="Helios" w:cs="Helios-Regular;Times New Roman"/>
          <w:caps/>
          <w:spacing w:val="40"/>
          <w:sz w:val="22"/>
          <w:szCs w:val="22"/>
        </w:rPr>
      </w:pPr>
      <w:r>
        <w:rPr>
          <w:rFonts w:cs="PF Din Text Cond Pro Light" w:ascii="PF Din Text Cond Pro Light" w:hAnsi="PF Din Text Cond Pro Light"/>
          <w:sz w:val="22"/>
          <w:szCs w:val="22"/>
        </w:rPr>
        <w:t>ПРОТОКОЛ</w:t>
      </w:r>
    </w:p>
    <w:p>
      <w:pPr>
        <w:pStyle w:val="Style34"/>
        <w:spacing w:lineRule="auto" w:line="240"/>
        <w:jc w:val="center"/>
        <w:rPr>
          <w:rFonts w:ascii="PF Din Text Cond Pro Light" w:hAnsi="PF Din Text Cond Pro Light" w:cs="PF Din Text Cond Pro Light"/>
          <w:color w:val="000000"/>
          <w:sz w:val="18"/>
          <w:szCs w:val="18"/>
        </w:rPr>
      </w:pPr>
      <w:r>
        <w:rPr>
          <w:rFonts w:cs="PF Din Text Cond Pro Light" w:ascii="PF Din Text Cond Pro Light" w:hAnsi="PF Din Text Cond Pro Light"/>
          <w:sz w:val="18"/>
          <w:szCs w:val="18"/>
        </w:rPr>
        <w:t xml:space="preserve">очного заседания Закупочной комиссии по рассмотрению </w:t>
      </w:r>
      <w:r>
        <w:rPr>
          <w:rFonts w:cs="PF Din Text Cond Pro Light" w:ascii="PF Din Text Cond Pro Light" w:hAnsi="PF Din Text Cond Pro Light"/>
          <w:color w:val="000000"/>
          <w:sz w:val="18"/>
          <w:szCs w:val="18"/>
        </w:rPr>
        <w:t xml:space="preserve">ценовых предложений участников </w:t>
      </w:r>
    </w:p>
    <w:p>
      <w:pPr>
        <w:pStyle w:val="Style34"/>
        <w:spacing w:lineRule="auto" w:line="240"/>
        <w:jc w:val="center"/>
        <w:rPr>
          <w:rFonts w:ascii="PF Din Text Cond Pro Light" w:hAnsi="PF Din Text Cond Pro Light" w:cs="PF Din Text Cond Pro Light"/>
          <w:color w:val="000000"/>
          <w:sz w:val="18"/>
          <w:szCs w:val="18"/>
        </w:rPr>
      </w:pPr>
      <w:r>
        <w:rPr>
          <w:rFonts w:cs="PF Din Text Cond Pro Light" w:ascii="PF Din Text Cond Pro Light" w:hAnsi="PF Din Text Cond Pro Light"/>
          <w:color w:val="000000"/>
          <w:sz w:val="18"/>
          <w:szCs w:val="18"/>
        </w:rPr>
      </w:r>
    </w:p>
    <w:p>
      <w:pPr>
        <w:pStyle w:val="Style34"/>
        <w:spacing w:lineRule="auto" w:line="240"/>
        <w:jc w:val="center"/>
        <w:rPr>
          <w:rFonts w:ascii="Helios" w:hAnsi="Helios" w:cs="Helios-Regular;Times New Roman"/>
          <w:color w:val="000000"/>
          <w:sz w:val="18"/>
          <w:szCs w:val="18"/>
        </w:rPr>
      </w:pPr>
      <w:r>
        <w:rPr>
          <w:rFonts w:cs="Helios-Regular;Times New Roman" w:ascii="Helios" w:hAnsi="Helios"/>
          <w:color w:val="000000"/>
          <w:sz w:val="18"/>
          <w:szCs w:val="18"/>
        </w:rPr>
      </w:r>
    </w:p>
    <w:tbl>
      <w:tblPr>
        <w:tblW w:w="1045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927"/>
        <w:gridCol w:w="5529"/>
      </w:tblGrid>
      <w:tr>
        <w:trPr>
          <w:trHeight w:val="664" w:hRule="atLeast"/>
        </w:trPr>
        <w:tc>
          <w:tcPr>
            <w:tcW w:w="4927" w:type="dxa"/>
            <w:tcBorders/>
          </w:tcPr>
          <w:p>
            <w:pPr>
              <w:pStyle w:val="Style34"/>
              <w:rPr>
                <w:rFonts w:ascii="PF Din Text Cond Pro Light" w:hAnsi="PF Din Text Cond Pro Light" w:cs="PF Din Text Cond Pro Light"/>
                <w:color w:val="000000"/>
                <w:sz w:val="18"/>
                <w:szCs w:val="18"/>
              </w:rPr>
            </w:pPr>
            <w:r>
              <w:rPr>
                <w:rFonts w:cs="PF Din Text Cond Pro Light" w:ascii="PF Din Text Cond Pro Light" w:hAnsi="PF Din Text Cond Pro Light"/>
                <w:color w:val="000000"/>
                <w:sz w:val="18"/>
                <w:szCs w:val="18"/>
              </w:rPr>
              <w:t>Дата проведения заседания: 15.12.2025</w:t>
            </w:r>
          </w:p>
          <w:p>
            <w:pPr>
              <w:pStyle w:val="Style34"/>
              <w:rPr>
                <w:rFonts w:ascii="PF Din Text Cond Pro Light" w:hAnsi="PF Din Text Cond Pro Light" w:cs="PF Din Text Cond Pro Light"/>
                <w:color w:val="000000"/>
                <w:sz w:val="18"/>
                <w:szCs w:val="18"/>
              </w:rPr>
            </w:pPr>
            <w:r>
              <w:rPr>
                <w:rFonts w:cs="PF Din Text Cond Pro Light" w:ascii="PF Din Text Cond Pro Light" w:hAnsi="PF Din Text Cond Pro Light"/>
                <w:color w:val="000000"/>
                <w:sz w:val="18"/>
                <w:szCs w:val="18"/>
              </w:rPr>
              <w:t>Дата подписания протокола: 15.12.2025</w:t>
            </w:r>
          </w:p>
        </w:tc>
        <w:tc>
          <w:tcPr>
            <w:tcW w:w="5529" w:type="dxa"/>
            <w:tcBorders/>
            <w:vAlign w:val="center"/>
          </w:tcPr>
          <w:p>
            <w:pPr>
              <w:pStyle w:val="Style34"/>
              <w:jc w:val="end"/>
              <w:rPr>
                <w:rFonts w:ascii="PF Din Text Cond Pro Light" w:hAnsi="PF Din Text Cond Pro Light" w:cs="PF Din Text Cond Pro Light"/>
                <w:color w:val="000000"/>
                <w:sz w:val="18"/>
                <w:szCs w:val="18"/>
              </w:rPr>
            </w:pPr>
            <w:r>
              <w:rPr>
                <w:rFonts w:cs="PF Din Text Cond Pro Light" w:ascii="PF Din Text Cond Pro Light" w:hAnsi="PF Din Text Cond Pro Light"/>
                <w:color w:val="000000"/>
                <w:sz w:val="18"/>
                <w:szCs w:val="18"/>
              </w:rPr>
              <w:t xml:space="preserve">№ </w:t>
            </w:r>
            <w:r>
              <w:rPr>
                <w:rFonts w:cs="PF Din Text Cond Pro Light" w:ascii="PF Din Text Cond Pro Light" w:hAnsi="PF Din Text Cond Pro Light"/>
                <w:color w:val="000000"/>
                <w:sz w:val="18"/>
                <w:szCs w:val="18"/>
              </w:rPr>
              <w:t>0284-БР-25-2</w:t>
            </w:r>
          </w:p>
        </w:tc>
      </w:tr>
    </w:tbl>
    <w:p>
      <w:pPr>
        <w:pStyle w:val="Style34"/>
        <w:jc w:val="center"/>
        <w:rPr>
          <w:rFonts w:ascii="Helios" w:hAnsi="Helios" w:cs="Helios-Regular;Times New Roman"/>
          <w:color w:val="000000"/>
          <w:sz w:val="18"/>
          <w:szCs w:val="18"/>
        </w:rPr>
      </w:pPr>
      <w:r>
        <w:rPr>
          <w:rFonts w:cs="PF Din Text Cond Pro Light" w:ascii="PF Din Text Cond Pro Light" w:hAnsi="PF Din Text Cond Pro Light"/>
          <w:color w:val="000000"/>
          <w:sz w:val="18"/>
          <w:szCs w:val="18"/>
        </w:rPr>
        <w:t>Брянск</w:t>
      </w:r>
      <w:r>
        <w:rPr>
          <w:rFonts w:cs="Helios-Regular;Times New Roman" w:ascii="Helios" w:hAnsi="Helios"/>
          <w:color w:val="000000"/>
          <w:sz w:val="18"/>
          <w:szCs w:val="18"/>
        </w:rPr>
        <w:t xml:space="preserve">  </w:t>
      </w:r>
    </w:p>
    <w:p>
      <w:pPr>
        <w:pStyle w:val="Normal"/>
        <w:spacing w:lineRule="auto" w:line="240"/>
        <w:ind w:hanging="0" w:end="0"/>
        <w:rPr>
          <w:rFonts w:ascii="Helios" w:hAnsi="Helios" w:cs="Helios-Regular;Times New Roman"/>
          <w:b/>
          <w:color w:val="000000"/>
          <w:sz w:val="18"/>
          <w:szCs w:val="18"/>
          <w:highlight w:val="green"/>
        </w:rPr>
      </w:pPr>
      <w:r>
        <w:rPr>
          <w:rFonts w:cs="Helios-Regular;Times New Roman" w:ascii="Helios" w:hAnsi="Helios"/>
          <w:b/>
          <w:color w:val="000000"/>
          <w:sz w:val="18"/>
          <w:szCs w:val="18"/>
          <w:highlight w:val="green"/>
        </w:rPr>
      </w:r>
    </w:p>
    <w:p>
      <w:pPr>
        <w:pStyle w:val="Normal"/>
        <w:widowControl w:val="false"/>
        <w:suppressAutoHyphens w:val="true"/>
        <w:spacing w:lineRule="auto" w:line="240"/>
        <w:ind w:firstLine="426" w:end="0"/>
        <w:rPr>
          <w:sz w:val="18"/>
          <w:szCs w:val="18"/>
        </w:rPr>
      </w:pPr>
      <w:r>
        <w:rPr>
          <w:b/>
          <w:caps/>
          <w:sz w:val="18"/>
          <w:szCs w:val="18"/>
        </w:rPr>
        <w:t>способ и</w:t>
      </w:r>
      <w:r>
        <w:rPr>
          <w:sz w:val="18"/>
          <w:szCs w:val="18"/>
        </w:rPr>
        <w:t xml:space="preserve"> </w:t>
      </w:r>
      <w:r>
        <w:rPr>
          <w:b/>
          <w:caps/>
          <w:sz w:val="18"/>
          <w:szCs w:val="18"/>
        </w:rPr>
        <w:t xml:space="preserve">ПРЕДМЕТ закупки: </w:t>
      </w:r>
      <w:r>
        <w:rPr>
          <w:sz w:val="18"/>
          <w:szCs w:val="18"/>
        </w:rPr>
        <w:t xml:space="preserve">запрос цен по результатам конкурентного предварительного отбора на право заключения Договора </w:t>
      </w:r>
      <w:r>
        <w:rPr>
          <w:bCs/>
          <w:iCs/>
          <w:sz w:val="18"/>
          <w:szCs w:val="18"/>
        </w:rPr>
        <w:t xml:space="preserve">на </w:t>
      </w:r>
      <w:r>
        <w:rPr>
          <w:rFonts w:cs="Courier New"/>
          <w:sz w:val="18"/>
          <w:szCs w:val="18"/>
        </w:rPr>
        <w:t xml:space="preserve">выполнение работ по реконструкции участка ВЛ 110 кВ Новобрянская-Дормашевская 1, 2 цепь с заходами на ПС 110 кВ: Карачижская, Заречная с изменением границ полосы отвода и охранных зон (Снятие ограничений в пользовании земельным участком МКУ УЖКХ г. Брянска договор №42647310 от 09.09.25, протяженность 1,937 км) </w:t>
      </w:r>
      <w:r>
        <w:rPr>
          <w:bCs/>
          <w:iCs/>
          <w:sz w:val="18"/>
          <w:szCs w:val="18"/>
        </w:rPr>
        <w:t>для нужд ПАО «Россети Центр» (филиала «Брянскэнерго»).</w:t>
      </w:r>
    </w:p>
    <w:p>
      <w:pPr>
        <w:pStyle w:val="Style22"/>
        <w:widowControl w:val="false"/>
        <w:tabs>
          <w:tab w:val="left" w:pos="567" w:leader="none"/>
        </w:tabs>
        <w:spacing w:lineRule="auto" w:line="240"/>
        <w:ind w:firstLine="426" w:end="0"/>
        <w:rPr/>
      </w:pPr>
      <w:r>
        <w:rPr>
          <w:sz w:val="18"/>
          <w:szCs w:val="18"/>
        </w:rPr>
        <w:t>Запрос цен проводится на основании Распоряжения от 01.12.2025 года № БР-28/0284-р/з.</w:t>
      </w:r>
    </w:p>
    <w:p>
      <w:pPr>
        <w:pStyle w:val="Style22"/>
        <w:widowControl w:val="false"/>
        <w:tabs>
          <w:tab w:val="left" w:pos="567" w:leader="none"/>
        </w:tabs>
        <w:spacing w:lineRule="auto" w:line="240" w:before="0" w:after="0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BodyText"/>
        <w:ind w:end="-6"/>
        <w:jc w:val="both"/>
        <w:rPr/>
      </w:pPr>
      <w:r>
        <w:rPr>
          <w:b/>
          <w:sz w:val="18"/>
          <w:szCs w:val="18"/>
        </w:rPr>
        <w:t xml:space="preserve">Заказчик и Организатор закупки (далее – Организатор): </w:t>
      </w:r>
      <w:r>
        <w:rPr>
          <w:sz w:val="18"/>
          <w:szCs w:val="18"/>
        </w:rPr>
        <w:t>ПАО «Россети Центр», расположенное по адресу: РФ, 119017, г. Москва, ул. Малая Ордынка, д. 15.</w:t>
      </w:r>
    </w:p>
    <w:p>
      <w:pPr>
        <w:pStyle w:val="BodyText"/>
        <w:ind w:end="-6"/>
        <w:jc w:val="both"/>
        <w:rPr>
          <w:sz w:val="17"/>
          <w:szCs w:val="17"/>
        </w:rPr>
      </w:pPr>
      <w:r>
        <w:rPr>
          <w:sz w:val="17"/>
          <w:szCs w:val="17"/>
        </w:rPr>
      </w:r>
    </w:p>
    <w:p>
      <w:pPr>
        <w:pStyle w:val="Normal"/>
        <w:widowControl w:val="false"/>
        <w:tabs>
          <w:tab w:val="clear" w:pos="567"/>
          <w:tab w:val="left" w:pos="426" w:leader="none"/>
        </w:tabs>
        <w:autoSpaceDE w:val="false"/>
        <w:spacing w:lineRule="auto" w:line="240"/>
        <w:ind w:firstLine="426" w:end="0"/>
        <w:rPr>
          <w:sz w:val="18"/>
          <w:szCs w:val="18"/>
        </w:rPr>
      </w:pPr>
      <w:r>
        <w:rPr>
          <w:sz w:val="17"/>
          <w:szCs w:val="17"/>
        </w:rPr>
        <w:t xml:space="preserve">Извещение о проведении запроса </w:t>
      </w:r>
      <w:r>
        <w:rPr>
          <w:sz w:val="18"/>
          <w:szCs w:val="18"/>
        </w:rPr>
        <w:t>цен было разработано Организатором, утверждено протоколом заседания Закупочной комиссии от 01.12.2025 года № 0284-БР-25, опубликовано 01.12.2025 года на официальном сайте Единой информационной системы в сфере закупок</w:t>
      </w:r>
      <w:hyperlink r:id="rId3">
        <w:r>
          <w:rPr>
            <w:rStyle w:val="Hyperlink"/>
            <w:sz w:val="18"/>
            <w:szCs w:val="18"/>
          </w:rPr>
          <w:t>www.zakupki.gov.ru</w:t>
        </w:r>
      </w:hyperlink>
      <w:r>
        <w:rPr>
          <w:sz w:val="18"/>
          <w:szCs w:val="18"/>
        </w:rPr>
        <w:t xml:space="preserve">, на сайте Электронной торговой площадки Российского аукционного дома (РАД) </w:t>
      </w:r>
      <w:hyperlink r:id="rId4">
        <w:r>
          <w:rPr>
            <w:rStyle w:val="Hyperlink"/>
            <w:sz w:val="18"/>
            <w:szCs w:val="18"/>
            <w:lang w:val="en-US"/>
          </w:rPr>
          <w:t>www</w:t>
        </w:r>
        <w:r>
          <w:rPr>
            <w:rStyle w:val="Hyperlink"/>
            <w:sz w:val="18"/>
            <w:szCs w:val="18"/>
          </w:rPr>
          <w:t>.tender.lot-online.ru</w:t>
        </w:r>
      </w:hyperlink>
      <w:r>
        <w:rPr>
          <w:sz w:val="18"/>
          <w:szCs w:val="18"/>
        </w:rPr>
        <w:t xml:space="preserve"> (далее ЭТП)</w:t>
      </w:r>
      <w:r>
        <w:rPr>
          <w:rStyle w:val="Hyperlink"/>
          <w:color w:val="000000"/>
          <w:sz w:val="18"/>
          <w:szCs w:val="18"/>
          <w:u w:val="none"/>
        </w:rPr>
        <w:t>:</w:t>
      </w:r>
      <w:r>
        <w:rPr>
          <w:rStyle w:val="Hyperlink"/>
          <w:sz w:val="18"/>
          <w:szCs w:val="18"/>
          <w:u w:val="none"/>
        </w:rPr>
        <w:t xml:space="preserve"> </w:t>
      </w:r>
      <w:r>
        <w:rPr>
          <w:sz w:val="18"/>
          <w:szCs w:val="18"/>
        </w:rPr>
        <w:t xml:space="preserve">№ 32515471117, на сайте ПАО «Россети Центр» </w:t>
      </w:r>
      <w:hyperlink r:id="rId5">
        <w:r>
          <w:rPr>
            <w:rStyle w:val="Hyperlink"/>
            <w:sz w:val="18"/>
            <w:szCs w:val="18"/>
          </w:rPr>
          <w:t>www.mrsk-1.ru</w:t>
        </w:r>
      </w:hyperlink>
      <w:r>
        <w:rPr>
          <w:sz w:val="18"/>
          <w:szCs w:val="18"/>
        </w:rPr>
        <w:t xml:space="preserve"> в разделе «Закупки». </w:t>
      </w:r>
      <w:bookmarkStart w:id="0" w:name="_Ref277337881"/>
      <w:bookmarkStart w:id="1" w:name="_Ref57670139"/>
    </w:p>
    <w:p>
      <w:pPr>
        <w:pStyle w:val="Normal"/>
        <w:spacing w:lineRule="auto" w:line="240"/>
        <w:ind w:firstLine="426" w:end="0"/>
        <w:rPr/>
      </w:pPr>
      <w:r>
        <w:rPr>
          <w:sz w:val="18"/>
          <w:szCs w:val="18"/>
          <w:lang w:val="en-US"/>
        </w:rPr>
        <w:t xml:space="preserve">В соответствии с </w:t>
      </w:r>
      <w:r>
        <w:rPr>
          <w:sz w:val="18"/>
          <w:szCs w:val="18"/>
        </w:rPr>
        <w:t>извещением</w:t>
      </w:r>
      <w:r>
        <w:rPr>
          <w:sz w:val="18"/>
          <w:szCs w:val="18"/>
          <w:lang w:val="en-US"/>
        </w:rPr>
        <w:t xml:space="preserve"> о проведении </w:t>
      </w:r>
      <w:r>
        <w:rPr>
          <w:sz w:val="18"/>
          <w:szCs w:val="18"/>
        </w:rPr>
        <w:t>запроса цен:</w:t>
      </w:r>
    </w:p>
    <w:p>
      <w:pPr>
        <w:pStyle w:val="Normal"/>
        <w:autoSpaceDE w:val="false"/>
        <w:spacing w:lineRule="auto" w:line="240" w:before="40" w:after="0"/>
        <w:ind w:hanging="0" w:end="0"/>
        <w:rPr>
          <w:sz w:val="18"/>
          <w:szCs w:val="18"/>
        </w:rPr>
      </w:pPr>
      <w:r>
        <w:rPr>
          <w:sz w:val="18"/>
          <w:szCs w:val="18"/>
        </w:rPr>
        <w:t xml:space="preserve">- </w:t>
      </w:r>
      <w:r>
        <w:rPr>
          <w:sz w:val="18"/>
          <w:szCs w:val="18"/>
          <w:lang w:val="en-US"/>
        </w:rPr>
        <w:t>начальная (</w:t>
      </w:r>
      <w:bookmarkEnd w:id="1"/>
      <w:r>
        <w:rPr>
          <w:sz w:val="18"/>
          <w:szCs w:val="18"/>
          <w:lang w:val="en-US"/>
        </w:rPr>
        <w:t xml:space="preserve">максимальная) цена </w:t>
      </w:r>
      <w:r>
        <w:rPr>
          <w:sz w:val="18"/>
          <w:szCs w:val="18"/>
        </w:rPr>
        <w:t xml:space="preserve">Договора </w:t>
      </w:r>
      <w:r>
        <w:rPr>
          <w:sz w:val="18"/>
          <w:szCs w:val="18"/>
          <w:lang w:val="en-US"/>
        </w:rPr>
        <w:t>составляет:</w:t>
      </w:r>
      <w:r>
        <w:rPr>
          <w:sz w:val="18"/>
          <w:szCs w:val="18"/>
        </w:rPr>
        <w:t xml:space="preserve"> </w:t>
      </w:r>
      <w:bookmarkEnd w:id="0"/>
      <w:r>
        <w:rPr>
          <w:b/>
          <w:sz w:val="18"/>
          <w:szCs w:val="18"/>
        </w:rPr>
        <w:t>16 531 866</w:t>
      </w:r>
      <w:r>
        <w:rPr>
          <w:sz w:val="18"/>
          <w:szCs w:val="18"/>
        </w:rPr>
        <w:t xml:space="preserve"> (Шестнадцать миллионов пятьсот тридцать одна тысяча восемьсот шестьдесят шесть) рублей 00 копеек РФ, с учетом НДС; НДС составляет </w:t>
      </w:r>
      <w:r>
        <w:rPr>
          <w:b/>
          <w:sz w:val="18"/>
          <w:szCs w:val="18"/>
        </w:rPr>
        <w:t xml:space="preserve">2 755 311 </w:t>
      </w:r>
      <w:r>
        <w:rPr>
          <w:sz w:val="18"/>
          <w:szCs w:val="18"/>
        </w:rPr>
        <w:t>(Два миллиона семьсот пятьдесят пять тысяч триста одиннадцать) рублей 00 копеек РФ</w:t>
      </w:r>
      <w:r>
        <w:rPr>
          <w:color w:val="000000"/>
          <w:sz w:val="18"/>
          <w:szCs w:val="18"/>
          <w:shd w:fill="FFFFFF" w:val="clear"/>
        </w:rPr>
        <w:t xml:space="preserve"> (по ставке НДС 20%);</w:t>
      </w:r>
    </w:p>
    <w:p>
      <w:pPr>
        <w:pStyle w:val="Normal"/>
        <w:autoSpaceDE w:val="false"/>
        <w:spacing w:lineRule="auto" w:line="240" w:before="40" w:after="0"/>
        <w:ind w:hanging="0" w:end="0"/>
        <w:rPr>
          <w:b/>
          <w:bCs/>
          <w:iCs/>
          <w:sz w:val="18"/>
          <w:szCs w:val="18"/>
          <w:shd w:fill="FFFF99" w:val="clear"/>
        </w:rPr>
      </w:pPr>
      <w:r>
        <w:rPr>
          <w:sz w:val="18"/>
          <w:szCs w:val="18"/>
        </w:rPr>
        <w:t xml:space="preserve">        </w:t>
      </w:r>
      <w:r>
        <w:rPr>
          <w:sz w:val="18"/>
          <w:szCs w:val="18"/>
        </w:rPr>
        <w:t>- сроки выполнения работ: начало – с момента заключения договора, окончание – 31.12.2026г;</w:t>
      </w:r>
    </w:p>
    <w:p>
      <w:pPr>
        <w:pStyle w:val="Normal"/>
        <w:autoSpaceDE w:val="false"/>
        <w:spacing w:lineRule="auto" w:line="240" w:before="40" w:after="0"/>
        <w:ind w:hanging="0" w:end="0"/>
        <w:rPr>
          <w:sz w:val="18"/>
          <w:szCs w:val="18"/>
        </w:rPr>
      </w:pPr>
      <w:r>
        <w:rPr>
          <w:sz w:val="18"/>
          <w:szCs w:val="18"/>
        </w:rPr>
        <w:t>- объем закупаемых работ: согласно требований, изложенным в Технических заданиях (Приложении №1 к Извещению о проведении запроса цен).</w:t>
      </w:r>
    </w:p>
    <w:p>
      <w:pPr>
        <w:pStyle w:val="BodyText"/>
        <w:widowControl w:val="false"/>
        <w:ind w:end="-6"/>
        <w:jc w:val="both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widowControl w:val="false"/>
        <w:numPr>
          <w:ilvl w:val="0"/>
          <w:numId w:val="0"/>
        </w:numPr>
        <w:spacing w:lineRule="auto" w:line="240"/>
        <w:ind w:start="0" w:hanging="0" w:end="0"/>
        <w:outlineLvl w:val="1"/>
        <w:rPr>
          <w:b/>
          <w:sz w:val="18"/>
          <w:szCs w:val="18"/>
        </w:rPr>
      </w:pPr>
      <w:r>
        <w:rPr>
          <w:b/>
          <w:sz w:val="18"/>
          <w:szCs w:val="18"/>
        </w:rPr>
        <w:t>СОСТАВ ЗАКУПОЧНОЙ КОМИССИИ:</w:t>
      </w:r>
    </w:p>
    <w:p>
      <w:pPr>
        <w:pStyle w:val="Normal"/>
        <w:widowControl w:val="false"/>
        <w:numPr>
          <w:ilvl w:val="0"/>
          <w:numId w:val="0"/>
        </w:numPr>
        <w:spacing w:lineRule="auto" w:line="240"/>
        <w:ind w:start="0" w:hanging="0" w:end="0"/>
        <w:outlineLvl w:val="1"/>
        <w:rPr>
          <w:b/>
          <w:sz w:val="18"/>
          <w:szCs w:val="18"/>
        </w:rPr>
      </w:pPr>
      <w:r>
        <w:rPr>
          <w:b/>
          <w:sz w:val="18"/>
          <w:szCs w:val="18"/>
        </w:rPr>
      </w:r>
    </w:p>
    <w:tbl>
      <w:tblPr>
        <w:tblW w:w="10348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843"/>
        <w:gridCol w:w="5812"/>
        <w:gridCol w:w="2693"/>
      </w:tblGrid>
      <w:tr>
        <w:trPr>
          <w:trHeight w:val="414" w:hRule="atLeast"/>
        </w:trPr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ФИО</w:t>
            </w:r>
          </w:p>
        </w:tc>
        <w:tc>
          <w:tcPr>
            <w:tcW w:w="5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Должность</w:t>
            </w:r>
          </w:p>
        </w:tc>
        <w:tc>
          <w:tcPr>
            <w:tcW w:w="2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Статус в составе комиссии</w:t>
            </w:r>
          </w:p>
        </w:tc>
      </w:tr>
      <w:tr>
        <w:trPr/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hanging="0" w:end="0"/>
              <w:jc w:val="star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Капшуков Ф.А.</w:t>
            </w:r>
          </w:p>
        </w:tc>
        <w:tc>
          <w:tcPr>
            <w:tcW w:w="5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hanging="0" w:end="0"/>
              <w:rPr/>
            </w:pPr>
            <w:r>
              <w:rPr>
                <w:sz w:val="18"/>
                <w:szCs w:val="18"/>
              </w:rPr>
              <w:t>Директор филиала ПАО «Россети Центр» - «Брянскэнерго»</w:t>
            </w:r>
          </w:p>
        </w:tc>
        <w:tc>
          <w:tcPr>
            <w:tcW w:w="2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hanging="0" w:end="0"/>
              <w:jc w:val="star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Председатель закупочной комиссии</w:t>
            </w:r>
          </w:p>
        </w:tc>
      </w:tr>
      <w:tr>
        <w:trPr/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hanging="0" w:end="0"/>
              <w:jc w:val="star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Кузнецов П.Н.</w:t>
            </w:r>
          </w:p>
        </w:tc>
        <w:tc>
          <w:tcPr>
            <w:tcW w:w="5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hanging="0" w:end="0"/>
              <w:jc w:val="star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Начальник отдела закупочной деятельности филиала ПАО «Россети Центр» - «Брянскэнерго»</w:t>
            </w:r>
          </w:p>
        </w:tc>
        <w:tc>
          <w:tcPr>
            <w:tcW w:w="2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hanging="0" w:end="0"/>
              <w:jc w:val="star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Заместитель председателя закупочной комиссии</w:t>
            </w:r>
          </w:p>
        </w:tc>
      </w:tr>
      <w:tr>
        <w:trPr/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hanging="0" w:end="0"/>
              <w:jc w:val="star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Богинский И.А.</w:t>
            </w:r>
          </w:p>
        </w:tc>
        <w:tc>
          <w:tcPr>
            <w:tcW w:w="5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hanging="0" w:end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Заместитель директора по безопасности филиала ПАО «Россети Центр» - «Брянскэнерго»</w:t>
            </w:r>
          </w:p>
        </w:tc>
        <w:tc>
          <w:tcPr>
            <w:tcW w:w="2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hanging="0" w:end="0"/>
              <w:jc w:val="star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Член закупочной комиссии</w:t>
            </w:r>
          </w:p>
        </w:tc>
      </w:tr>
      <w:tr>
        <w:trPr/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hanging="0" w:end="0"/>
              <w:jc w:val="star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Солянин Р.В.</w:t>
            </w:r>
          </w:p>
        </w:tc>
        <w:tc>
          <w:tcPr>
            <w:tcW w:w="5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hanging="0" w:end="0"/>
              <w:rPr/>
            </w:pPr>
            <w:r>
              <w:rPr>
                <w:sz w:val="18"/>
                <w:szCs w:val="18"/>
              </w:rPr>
              <w:t>Заместитель  генерального    директора    по инвестиционной    деятельности    и    капитальному строительству ПАО «Россети Центр»</w:t>
            </w:r>
          </w:p>
        </w:tc>
        <w:tc>
          <w:tcPr>
            <w:tcW w:w="2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hanging="0" w:end="0"/>
              <w:jc w:val="star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Член закупочной комиссии</w:t>
            </w:r>
          </w:p>
        </w:tc>
      </w:tr>
      <w:tr>
        <w:trPr/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hanging="0" w:end="0"/>
              <w:jc w:val="star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Дементьев Б.А.</w:t>
            </w:r>
          </w:p>
        </w:tc>
        <w:tc>
          <w:tcPr>
            <w:tcW w:w="5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hanging="0" w:end="0"/>
              <w:jc w:val="start"/>
              <w:rPr/>
            </w:pPr>
            <w:r>
              <w:rPr>
                <w:sz w:val="18"/>
                <w:szCs w:val="18"/>
              </w:rPr>
              <w:t>Начальник Управления логистики и МТО филиала ПАО «Россети Центр» - «Брянскэнерго»</w:t>
            </w:r>
          </w:p>
        </w:tc>
        <w:tc>
          <w:tcPr>
            <w:tcW w:w="2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hanging="0" w:end="0"/>
              <w:jc w:val="star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Член закупочной комиссии</w:t>
            </w:r>
          </w:p>
        </w:tc>
      </w:tr>
      <w:tr>
        <w:trPr>
          <w:trHeight w:val="315" w:hRule="atLeast"/>
        </w:trPr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hanging="0" w:end="0"/>
              <w:jc w:val="star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Треухова Н.И.</w:t>
            </w:r>
          </w:p>
        </w:tc>
        <w:tc>
          <w:tcPr>
            <w:tcW w:w="5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hanging="0" w:end="0"/>
              <w:jc w:val="star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Начальник Управления правового обеспечения филиала ПАО «Россети Центр» - «Брянскэнерго»</w:t>
            </w:r>
          </w:p>
        </w:tc>
        <w:tc>
          <w:tcPr>
            <w:tcW w:w="2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hanging="0" w:end="0"/>
              <w:jc w:val="star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Член закупочной комиссии</w:t>
            </w:r>
          </w:p>
        </w:tc>
      </w:tr>
      <w:tr>
        <w:trPr>
          <w:trHeight w:val="250" w:hRule="atLeast"/>
        </w:trPr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hanging="0" w:end="0"/>
              <w:jc w:val="star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Миненок Е.В.</w:t>
            </w:r>
          </w:p>
        </w:tc>
        <w:tc>
          <w:tcPr>
            <w:tcW w:w="5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hanging="0" w:end="0"/>
              <w:jc w:val="start"/>
              <w:rPr/>
            </w:pPr>
            <w:r>
              <w:rPr>
                <w:sz w:val="18"/>
                <w:szCs w:val="18"/>
              </w:rPr>
              <w:t>Специалист 1 категории отдела закупочной деятельности филиала ПАО «Россети Центр» - «Брянскэнерго»</w:t>
            </w:r>
          </w:p>
        </w:tc>
        <w:tc>
          <w:tcPr>
            <w:tcW w:w="2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hanging="0" w:end="0"/>
              <w:jc w:val="start"/>
              <w:rPr/>
            </w:pPr>
            <w:r>
              <w:rPr>
                <w:sz w:val="18"/>
                <w:szCs w:val="18"/>
              </w:rPr>
              <w:t>Ответственный секретарь (без права голоса)</w:t>
            </w:r>
          </w:p>
        </w:tc>
      </w:tr>
    </w:tbl>
    <w:p>
      <w:pPr>
        <w:pStyle w:val="Normal"/>
        <w:widowControl w:val="false"/>
        <w:numPr>
          <w:ilvl w:val="0"/>
          <w:numId w:val="0"/>
        </w:numPr>
        <w:spacing w:lineRule="auto" w:line="240"/>
        <w:ind w:start="0" w:hanging="0" w:end="0"/>
        <w:outlineLvl w:val="1"/>
        <w:rPr>
          <w:b/>
          <w:caps/>
          <w:sz w:val="18"/>
          <w:szCs w:val="18"/>
        </w:rPr>
      </w:pPr>
      <w:r>
        <w:rPr>
          <w:sz w:val="18"/>
          <w:szCs w:val="18"/>
        </w:rPr>
        <w:t xml:space="preserve">      </w:t>
      </w:r>
      <w:r>
        <w:rPr>
          <w:sz w:val="18"/>
          <w:szCs w:val="18"/>
        </w:rPr>
        <w:t>На заседании Закупочной комиссии присутствует не менее чем пятьдесят процентов общего числа ее членов. Кворум имеется, комиссия правомочна.</w:t>
      </w:r>
    </w:p>
    <w:p>
      <w:pPr>
        <w:pStyle w:val="BodyText"/>
        <w:widowControl w:val="false"/>
        <w:ind w:end="-6"/>
        <w:jc w:val="both"/>
        <w:rPr>
          <w:b/>
          <w:caps/>
          <w:sz w:val="18"/>
          <w:szCs w:val="18"/>
        </w:rPr>
      </w:pPr>
      <w:r>
        <w:rPr>
          <w:b/>
          <w:caps/>
          <w:sz w:val="18"/>
          <w:szCs w:val="18"/>
        </w:rPr>
      </w:r>
    </w:p>
    <w:p>
      <w:pPr>
        <w:pStyle w:val="Normal"/>
        <w:widowControl w:val="false"/>
        <w:numPr>
          <w:ilvl w:val="0"/>
          <w:numId w:val="0"/>
        </w:numPr>
        <w:spacing w:lineRule="auto" w:line="240"/>
        <w:ind w:start="0" w:hanging="0" w:end="0"/>
        <w:outlineLvl w:val="1"/>
        <w:rPr>
          <w:b/>
          <w:sz w:val="18"/>
          <w:szCs w:val="18"/>
        </w:rPr>
      </w:pPr>
      <w:r>
        <w:rPr>
          <w:b/>
          <w:sz w:val="18"/>
          <w:szCs w:val="18"/>
        </w:rPr>
        <w:t>КРАТКИЙ ОТЧЕТ:</w:t>
      </w:r>
    </w:p>
    <w:p>
      <w:pPr>
        <w:pStyle w:val="BodyText"/>
        <w:widowControl w:val="false"/>
        <w:ind w:firstLine="426" w:end="-6"/>
        <w:jc w:val="both"/>
        <w:rPr>
          <w:sz w:val="18"/>
          <w:szCs w:val="18"/>
        </w:rPr>
      </w:pPr>
      <w:r>
        <w:rPr>
          <w:sz w:val="18"/>
          <w:szCs w:val="18"/>
        </w:rPr>
        <w:t>После рассмотрения общих частей заявок поступили следующие ценовые предложения:</w:t>
      </w:r>
    </w:p>
    <w:p>
      <w:pPr>
        <w:pStyle w:val="BodyText"/>
        <w:widowControl w:val="false"/>
        <w:ind w:firstLine="426" w:end="-6"/>
        <w:jc w:val="both"/>
        <w:rPr>
          <w:sz w:val="18"/>
          <w:szCs w:val="18"/>
        </w:rPr>
      </w:pPr>
      <w:r>
        <w:rPr>
          <w:sz w:val="18"/>
          <w:szCs w:val="18"/>
        </w:rPr>
      </w:r>
    </w:p>
    <w:tbl>
      <w:tblPr>
        <w:tblW w:w="10348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67"/>
        <w:gridCol w:w="4967"/>
        <w:gridCol w:w="1554"/>
        <w:gridCol w:w="1559"/>
        <w:gridCol w:w="1701"/>
      </w:tblGrid>
      <w:tr>
        <w:trPr>
          <w:trHeight w:val="335" w:hRule="atLeast"/>
        </w:trPr>
        <w:tc>
          <w:tcPr>
            <w:tcW w:w="567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№</w:t>
            </w:r>
          </w:p>
          <w:p>
            <w:pPr>
              <w:pStyle w:val="Normal"/>
              <w:widowControl w:val="false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п/п</w:t>
            </w:r>
          </w:p>
        </w:tc>
        <w:tc>
          <w:tcPr>
            <w:tcW w:w="4967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Сведения об Участниках закупки</w:t>
            </w:r>
          </w:p>
        </w:tc>
        <w:tc>
          <w:tcPr>
            <w:tcW w:w="3113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Общая цена заявки, руб.</w:t>
            </w:r>
          </w:p>
        </w:tc>
        <w:tc>
          <w:tcPr>
            <w:tcW w:w="1701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ind w:hanging="0" w:end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Дата и время регистрации заявки на ЭТП</w:t>
            </w:r>
          </w:p>
        </w:tc>
      </w:tr>
      <w:tr>
        <w:trPr>
          <w:trHeight w:val="334" w:hRule="atLeast"/>
        </w:trPr>
        <w:tc>
          <w:tcPr>
            <w:tcW w:w="56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18"/>
                <w:szCs w:val="18"/>
                <w:highlight w:val="yellow"/>
              </w:rPr>
            </w:pPr>
            <w:r>
              <w:rPr>
                <w:sz w:val="18"/>
                <w:szCs w:val="18"/>
                <w:highlight w:val="yellow"/>
              </w:rPr>
            </w:r>
          </w:p>
        </w:tc>
        <w:tc>
          <w:tcPr>
            <w:tcW w:w="496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18"/>
                <w:szCs w:val="18"/>
                <w:highlight w:val="yellow"/>
              </w:rPr>
            </w:pPr>
            <w:r>
              <w:rPr>
                <w:sz w:val="18"/>
                <w:szCs w:val="18"/>
                <w:highlight w:val="yellow"/>
              </w:rPr>
            </w:r>
          </w:p>
        </w:tc>
        <w:tc>
          <w:tcPr>
            <w:tcW w:w="15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ind w:hanging="0" w:end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без учета НДС</w:t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ind w:hanging="0" w:end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с учетом НДС</w:t>
            </w:r>
          </w:p>
        </w:tc>
        <w:tc>
          <w:tcPr>
            <w:tcW w:w="1701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18"/>
                <w:szCs w:val="18"/>
                <w:highlight w:val="yellow"/>
              </w:rPr>
            </w:pPr>
            <w:r>
              <w:rPr>
                <w:sz w:val="18"/>
                <w:szCs w:val="18"/>
                <w:highlight w:val="yellow"/>
              </w:rPr>
            </w:r>
          </w:p>
        </w:tc>
      </w:tr>
      <w:tr>
        <w:trPr>
          <w:trHeight w:val="477" w:hRule="atLeast"/>
        </w:trPr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numPr>
                <w:ilvl w:val="0"/>
                <w:numId w:val="4"/>
              </w:numPr>
              <w:snapToGrid w:val="false"/>
              <w:spacing w:lineRule="auto" w:line="24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  <w:highlight w:val="yellow"/>
              </w:rPr>
            </w:r>
          </w:p>
        </w:tc>
        <w:tc>
          <w:tcPr>
            <w:tcW w:w="49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76"/>
              <w:ind w:hanging="0" w:end="0"/>
              <w:rPr/>
            </w:pPr>
            <w:r>
              <w:rPr>
                <w:sz w:val="18"/>
                <w:szCs w:val="18"/>
              </w:rPr>
              <w:t>ООО «ИНЖЕНЕР», ИНН 7743144189, КПП 772801001, РФ, 117420, г. Москва, вн. тер. г. Муниципальный округ Черемушки, ул. Наметкина, д. 14, к. 2, тел. (926) 826-93-28</w:t>
            </w:r>
          </w:p>
        </w:tc>
        <w:tc>
          <w:tcPr>
            <w:tcW w:w="15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76"/>
              <w:ind w:hanging="0" w:end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13 775 471,67</w:t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76"/>
              <w:ind w:hanging="0" w:end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16 530 566,00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76"/>
              <w:ind w:hanging="0" w:end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09.12.2025</w:t>
            </w:r>
          </w:p>
          <w:p>
            <w:pPr>
              <w:pStyle w:val="Normal"/>
              <w:widowControl w:val="false"/>
              <w:spacing w:lineRule="auto" w:line="276"/>
              <w:ind w:hanging="0" w:end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в 12 ч. 47 мин.</w:t>
            </w:r>
          </w:p>
        </w:tc>
      </w:tr>
      <w:tr>
        <w:trPr>
          <w:trHeight w:val="583" w:hRule="atLeast"/>
        </w:trPr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numPr>
                <w:ilvl w:val="0"/>
                <w:numId w:val="4"/>
              </w:numPr>
              <w:snapToGrid w:val="false"/>
              <w:spacing w:lineRule="auto" w:line="24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  <w:highlight w:val="yellow"/>
              </w:rPr>
            </w:r>
          </w:p>
        </w:tc>
        <w:tc>
          <w:tcPr>
            <w:tcW w:w="49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76"/>
              <w:ind w:hanging="0" w:end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ООО «ЭНЕРГОКОМ», ИНН 3257025820, КПП 325701001, РФ, 241020, Брянская область, г. о. Брянск, ул. Тухачевского, д. 1, офис 1, тел. (905) 174-04-10</w:t>
            </w:r>
          </w:p>
        </w:tc>
        <w:tc>
          <w:tcPr>
            <w:tcW w:w="15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76"/>
              <w:ind w:hanging="0" w:end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13 776 555,00</w:t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76"/>
              <w:ind w:hanging="0" w:end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16 531 866,00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76"/>
              <w:ind w:hanging="0" w:end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12.12.2025</w:t>
            </w:r>
          </w:p>
          <w:p>
            <w:pPr>
              <w:pStyle w:val="Normal"/>
              <w:widowControl w:val="false"/>
              <w:spacing w:lineRule="auto" w:line="276"/>
              <w:ind w:hanging="0" w:end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в 08 ч. 50 мин.</w:t>
            </w:r>
          </w:p>
        </w:tc>
      </w:tr>
    </w:tbl>
    <w:p>
      <w:pPr>
        <w:pStyle w:val="Normal"/>
        <w:spacing w:lineRule="auto" w:line="240"/>
        <w:ind w:hanging="0" w:end="0"/>
        <w:rPr>
          <w:sz w:val="18"/>
          <w:szCs w:val="18"/>
        </w:rPr>
      </w:pP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 xml:space="preserve">Количество поступивших Заявок: 2 шт. </w:t>
      </w:r>
    </w:p>
    <w:p>
      <w:pPr>
        <w:pStyle w:val="Normal"/>
        <w:spacing w:lineRule="auto" w:line="240"/>
        <w:ind w:hanging="0" w:end="0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widowControl w:val="false"/>
        <w:spacing w:lineRule="auto" w:line="240"/>
        <w:ind w:hanging="0" w:end="0"/>
        <w:rPr>
          <w:b/>
          <w:caps/>
          <w:sz w:val="18"/>
          <w:szCs w:val="18"/>
        </w:rPr>
      </w:pPr>
      <w:r>
        <w:rPr>
          <w:b/>
          <w:caps/>
          <w:sz w:val="18"/>
          <w:szCs w:val="18"/>
        </w:rPr>
        <w:t xml:space="preserve">РЕШЕНИЕ </w:t>
      </w:r>
      <w:r>
        <w:rPr>
          <w:b/>
          <w:sz w:val="18"/>
          <w:szCs w:val="18"/>
        </w:rPr>
        <w:t xml:space="preserve">ЗАКУПОЧНОЙ </w:t>
      </w:r>
      <w:r>
        <w:rPr>
          <w:b/>
          <w:caps/>
          <w:sz w:val="18"/>
          <w:szCs w:val="18"/>
        </w:rPr>
        <w:t>КОМИССИИ:</w:t>
      </w:r>
    </w:p>
    <w:p>
      <w:pPr>
        <w:pStyle w:val="Normal"/>
        <w:widowControl w:val="false"/>
        <w:numPr>
          <w:ilvl w:val="0"/>
          <w:numId w:val="3"/>
        </w:numPr>
        <w:tabs>
          <w:tab w:val="clear" w:pos="567"/>
          <w:tab w:val="left" w:pos="851" w:leader="none"/>
        </w:tabs>
        <w:suppressAutoHyphens w:val="true"/>
        <w:spacing w:lineRule="auto" w:line="240"/>
        <w:ind w:firstLine="426" w:start="0" w:end="0"/>
        <w:outlineLvl w:val="2"/>
        <w:rPr>
          <w:b/>
          <w:sz w:val="18"/>
          <w:szCs w:val="18"/>
        </w:rPr>
      </w:pPr>
      <w:bookmarkStart w:id="2" w:name="_Ref93304289"/>
      <w:bookmarkEnd w:id="2"/>
      <w:r>
        <w:rPr>
          <w:b/>
          <w:sz w:val="18"/>
          <w:szCs w:val="18"/>
        </w:rPr>
        <w:t>Признать соответствующими условиям запроса цен ценовые предложения:</w:t>
      </w:r>
    </w:p>
    <w:p>
      <w:pPr>
        <w:pStyle w:val="Normal"/>
        <w:widowControl w:val="false"/>
        <w:numPr>
          <w:ilvl w:val="0"/>
          <w:numId w:val="0"/>
        </w:numPr>
        <w:suppressAutoHyphens w:val="true"/>
        <w:spacing w:lineRule="auto" w:line="240"/>
        <w:ind w:start="0" w:hanging="0" w:end="0"/>
        <w:outlineLvl w:val="2"/>
        <w:rPr>
          <w:sz w:val="18"/>
          <w:szCs w:val="18"/>
        </w:rPr>
      </w:pPr>
      <w:r>
        <w:rPr>
          <w:sz w:val="18"/>
          <w:szCs w:val="18"/>
        </w:rPr>
        <w:t>-  ООО «ИНЖЕНЕР», ИНН 7743144189, КПП 772801001, РФ, 117420, г. Москва, вн. тер. г. Муниципальный округ Черемушки, ул. Наметкина, д. 14, к. 2;</w:t>
      </w:r>
    </w:p>
    <w:p>
      <w:pPr>
        <w:pStyle w:val="Normal"/>
        <w:widowControl w:val="false"/>
        <w:numPr>
          <w:ilvl w:val="0"/>
          <w:numId w:val="0"/>
        </w:numPr>
        <w:suppressAutoHyphens w:val="true"/>
        <w:spacing w:lineRule="auto" w:line="240"/>
        <w:ind w:start="0" w:hanging="0" w:end="0"/>
        <w:outlineLvl w:val="2"/>
        <w:rPr>
          <w:sz w:val="18"/>
          <w:szCs w:val="18"/>
        </w:rPr>
      </w:pPr>
      <w:r>
        <w:rPr>
          <w:sz w:val="18"/>
          <w:szCs w:val="18"/>
        </w:rPr>
        <w:t>- ООО «ЭНЕРГОКОМ», ИНН 3257025820, КПП 325701001, РФ, 241020, Брянская область, г. о. Брянск, ул. Тухачевского, д. 1, офис 1</w:t>
      </w:r>
    </w:p>
    <w:p>
      <w:pPr>
        <w:pStyle w:val="Normal"/>
        <w:widowControl w:val="false"/>
        <w:numPr>
          <w:ilvl w:val="0"/>
          <w:numId w:val="0"/>
        </w:numPr>
        <w:suppressAutoHyphens w:val="true"/>
        <w:spacing w:lineRule="auto" w:line="240"/>
        <w:ind w:start="0" w:hanging="0" w:end="0"/>
        <w:outlineLvl w:val="2"/>
        <w:rPr>
          <w:b/>
          <w:sz w:val="18"/>
          <w:szCs w:val="18"/>
        </w:rPr>
      </w:pPr>
      <w:r>
        <w:rPr>
          <w:b/>
          <w:sz w:val="18"/>
          <w:szCs w:val="18"/>
        </w:rPr>
      </w:r>
    </w:p>
    <w:p>
      <w:pPr>
        <w:pStyle w:val="Normal"/>
        <w:widowControl w:val="false"/>
        <w:numPr>
          <w:ilvl w:val="0"/>
          <w:numId w:val="3"/>
        </w:numPr>
        <w:tabs>
          <w:tab w:val="clear" w:pos="567"/>
          <w:tab w:val="left" w:pos="851" w:leader="none"/>
        </w:tabs>
        <w:suppressAutoHyphens w:val="true"/>
        <w:spacing w:lineRule="auto" w:line="240"/>
        <w:ind w:firstLine="426" w:start="0" w:end="0"/>
        <w:outlineLvl w:val="2"/>
        <w:rPr>
          <w:b/>
          <w:sz w:val="18"/>
          <w:szCs w:val="18"/>
        </w:rPr>
      </w:pPr>
      <w:r>
        <w:rPr>
          <w:b/>
          <w:sz w:val="18"/>
          <w:szCs w:val="18"/>
        </w:rPr>
        <w:t xml:space="preserve">Пригласить к участию в аукционной процедуре на снижение цены (переторжке) следующих участников: </w:t>
      </w:r>
    </w:p>
    <w:p>
      <w:pPr>
        <w:pStyle w:val="Normal"/>
        <w:widowControl w:val="false"/>
        <w:numPr>
          <w:ilvl w:val="0"/>
          <w:numId w:val="0"/>
        </w:numPr>
        <w:suppressAutoHyphens w:val="true"/>
        <w:spacing w:lineRule="auto" w:line="240"/>
        <w:ind w:start="0" w:hanging="0" w:end="0"/>
        <w:outlineLvl w:val="2"/>
        <w:rPr>
          <w:b/>
          <w:sz w:val="18"/>
          <w:szCs w:val="18"/>
        </w:rPr>
      </w:pPr>
      <w:r>
        <w:rPr>
          <w:b/>
          <w:sz w:val="18"/>
          <w:szCs w:val="18"/>
        </w:rPr>
      </w:r>
    </w:p>
    <w:p>
      <w:pPr>
        <w:pStyle w:val="Normal"/>
        <w:overflowPunct w:val="false"/>
        <w:autoSpaceDE w:val="false"/>
        <w:spacing w:lineRule="auto" w:line="240"/>
        <w:ind w:firstLine="426" w:end="0"/>
        <w:textAlignment w:val="baseline"/>
        <w:rPr>
          <w:sz w:val="18"/>
          <w:szCs w:val="18"/>
        </w:rPr>
      </w:pPr>
      <w:bookmarkStart w:id="3" w:name="_Ref93304289"/>
      <w:bookmarkEnd w:id="3"/>
      <w:r>
        <w:rPr>
          <w:sz w:val="18"/>
          <w:szCs w:val="18"/>
        </w:rPr>
        <w:t>-  ООО «ИНЖЕНЕР», ИНН 7743144189, КПП 772801001, РФ, 117420, г. Москва, вн. тер. г. Муниципальный округ Черемушки, ул. Наметкина, д. 14, к. 2;</w:t>
      </w:r>
    </w:p>
    <w:p>
      <w:pPr>
        <w:pStyle w:val="Normal"/>
        <w:overflowPunct w:val="false"/>
        <w:autoSpaceDE w:val="false"/>
        <w:spacing w:lineRule="auto" w:line="240"/>
        <w:ind w:firstLine="426" w:end="0"/>
        <w:textAlignment w:val="baseline"/>
        <w:rPr>
          <w:sz w:val="18"/>
          <w:szCs w:val="18"/>
        </w:rPr>
      </w:pPr>
      <w:r>
        <w:rPr>
          <w:sz w:val="18"/>
          <w:szCs w:val="18"/>
        </w:rPr>
        <w:t>- ООО «ЭНЕРГОКОМ», ИНН 3257025820, КПП 325701001, РФ, 241020, Брянская область, г. о. Брянск, ул. Тухачевского, д. 1, офис 1.</w:t>
      </w:r>
    </w:p>
    <w:p>
      <w:pPr>
        <w:pStyle w:val="Normal"/>
        <w:overflowPunct w:val="false"/>
        <w:autoSpaceDE w:val="false"/>
        <w:spacing w:lineRule="auto" w:line="240"/>
        <w:ind w:firstLine="426" w:end="0"/>
        <w:textAlignment w:val="baseline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overflowPunct w:val="false"/>
        <w:autoSpaceDE w:val="false"/>
        <w:spacing w:lineRule="auto" w:line="240"/>
        <w:ind w:firstLine="426" w:end="0"/>
        <w:textAlignment w:val="baseline"/>
        <w:rPr/>
      </w:pPr>
      <w:r>
        <w:rPr>
          <w:b/>
          <w:i/>
          <w:sz w:val="18"/>
          <w:szCs w:val="18"/>
          <w:lang w:val="en-US"/>
        </w:rPr>
        <w:t xml:space="preserve">Я, член закупочной комиссии, подписавший настоящий протокол, подтверждаю, что не связан в настоящем ни с одним из участников данного запроса цен таким образом, что это помешает беспристрастно </w:t>
      </w:r>
      <w:r>
        <w:rPr>
          <w:b/>
          <w:i/>
          <w:sz w:val="18"/>
          <w:szCs w:val="18"/>
        </w:rPr>
        <w:t>рассматривать</w:t>
      </w:r>
      <w:r>
        <w:rPr>
          <w:b/>
          <w:i/>
          <w:sz w:val="18"/>
          <w:szCs w:val="18"/>
          <w:lang w:val="en-US"/>
        </w:rPr>
        <w:t xml:space="preserve"> поданные заявки участников.</w:t>
      </w:r>
    </w:p>
    <w:p>
      <w:pPr>
        <w:pStyle w:val="Normal"/>
        <w:overflowPunct w:val="false"/>
        <w:autoSpaceDE w:val="false"/>
        <w:spacing w:lineRule="auto" w:line="240"/>
        <w:ind w:firstLine="426" w:end="0"/>
        <w:textAlignment w:val="baseline"/>
        <w:rPr>
          <w:b/>
          <w:i/>
          <w:i/>
          <w:sz w:val="18"/>
          <w:szCs w:val="18"/>
          <w:lang w:val="en-US"/>
        </w:rPr>
      </w:pPr>
      <w:r>
        <w:rPr>
          <w:b/>
          <w:i/>
          <w:sz w:val="18"/>
          <w:szCs w:val="18"/>
          <w:lang w:val="en-US"/>
        </w:rPr>
        <w:t xml:space="preserve">В случае возникновения в период проведения запроса цен любых обстоятельств, мешающих давать беспристрастные оценки, либо в случае попытки оказания влияния на оценки члена закупочной комиссии со стороны участников или иных лиц, не участвующих в </w:t>
      </w:r>
      <w:r>
        <w:rPr>
          <w:b/>
          <w:i/>
          <w:sz w:val="18"/>
          <w:szCs w:val="18"/>
        </w:rPr>
        <w:t>рассмотрении</w:t>
      </w:r>
      <w:r>
        <w:rPr>
          <w:b/>
          <w:i/>
          <w:sz w:val="18"/>
          <w:szCs w:val="18"/>
          <w:lang w:val="en-US"/>
        </w:rPr>
        <w:t xml:space="preserve"> заявок, член закупочной комиссии обязуется незамедлительно доложить об этом лично председателю закупочной комиссии.</w:t>
      </w:r>
      <w:r>
        <w:rPr>
          <w:sz w:val="18"/>
          <w:szCs w:val="18"/>
          <w:lang w:val="en-US" w:eastAsia="en-US"/>
        </w:rPr>
        <w:t xml:space="preserve"> </w:t>
      </w:r>
    </w:p>
    <w:p>
      <w:pPr>
        <w:pStyle w:val="Normal"/>
        <w:overflowPunct w:val="false"/>
        <w:autoSpaceDE w:val="false"/>
        <w:spacing w:lineRule="auto" w:line="240"/>
        <w:ind w:firstLine="426" w:end="0"/>
        <w:textAlignment w:val="baseline"/>
        <w:rPr>
          <w:b/>
          <w:i/>
          <w:i/>
          <w:sz w:val="18"/>
          <w:szCs w:val="18"/>
          <w:lang w:val="en-US"/>
        </w:rPr>
      </w:pPr>
      <w:r>
        <w:rPr>
          <w:b/>
          <w:i/>
          <w:sz w:val="18"/>
          <w:szCs w:val="18"/>
          <w:lang w:val="en-US"/>
        </w:rPr>
        <w:t>Вся информация о заявках, разъяснениях, рассмотрении, отбору, оценках и сопоставлении заявок, до подведения результатов запроса цен, член закупочной комиссии обязуется ни при каких обстоятельствах не сообщать участникам и лицам, не имеющим отношения к процедуре рассмотрения заявок.</w:t>
      </w:r>
    </w:p>
    <w:p>
      <w:pPr>
        <w:pStyle w:val="Normal"/>
        <w:overflowPunct w:val="false"/>
        <w:autoSpaceDE w:val="false"/>
        <w:spacing w:lineRule="auto" w:line="240"/>
        <w:ind w:firstLine="426" w:end="0"/>
        <w:textAlignment w:val="baseline"/>
        <w:rPr/>
      </w:pPr>
      <w:r>
        <w:rPr>
          <w:b/>
          <w:i/>
          <w:sz w:val="18"/>
          <w:szCs w:val="18"/>
          <w:lang w:val="en-US"/>
        </w:rPr>
        <w:t xml:space="preserve">В случае необходимости обращения к </w:t>
      </w:r>
      <w:r>
        <w:rPr>
          <w:b/>
          <w:i/>
          <w:sz w:val="18"/>
          <w:szCs w:val="18"/>
        </w:rPr>
        <w:t>у</w:t>
      </w:r>
      <w:r>
        <w:rPr>
          <w:b/>
          <w:i/>
          <w:sz w:val="18"/>
          <w:szCs w:val="18"/>
          <w:lang w:val="en-US"/>
        </w:rPr>
        <w:t>частнику запроса цен до подведения результатов, член закупочной комиссии обязуется это сделать через организатора данного запроса цен.</w:t>
      </w:r>
    </w:p>
    <w:p>
      <w:pPr>
        <w:pStyle w:val="Normal"/>
        <w:overflowPunct w:val="false"/>
        <w:autoSpaceDE w:val="false"/>
        <w:spacing w:lineRule="auto" w:line="240"/>
        <w:ind w:firstLine="426" w:end="0"/>
        <w:textAlignment w:val="baseline"/>
        <w:rPr>
          <w:b/>
          <w:bCs/>
          <w:i/>
          <w:i/>
          <w:iCs/>
          <w:sz w:val="18"/>
          <w:szCs w:val="18"/>
        </w:rPr>
      </w:pPr>
      <w:r>
        <w:rPr>
          <w:b/>
          <w:i/>
          <w:sz w:val="18"/>
          <w:szCs w:val="18"/>
          <w:lang w:val="en-US"/>
        </w:rPr>
        <w:t>Член закупочной комиссии несет персональную ответственность за разглашение этих сведений до подведения результатов запроса цен</w:t>
      </w:r>
      <w:r>
        <w:rPr>
          <w:b/>
          <w:bCs/>
          <w:i/>
          <w:iCs/>
          <w:sz w:val="18"/>
          <w:szCs w:val="18"/>
        </w:rPr>
        <w:t>.</w:t>
      </w:r>
    </w:p>
    <w:p>
      <w:pPr>
        <w:pStyle w:val="Normal"/>
        <w:overflowPunct w:val="false"/>
        <w:autoSpaceDE w:val="false"/>
        <w:spacing w:lineRule="auto" w:line="240"/>
        <w:ind w:firstLine="426" w:end="0"/>
        <w:textAlignment w:val="baseline"/>
        <w:rPr>
          <w:b/>
          <w:bCs/>
          <w:i/>
          <w:i/>
          <w:iCs/>
          <w:sz w:val="18"/>
          <w:szCs w:val="18"/>
        </w:rPr>
      </w:pPr>
      <w:r>
        <w:rPr>
          <w:b/>
          <w:bCs/>
          <w:i/>
          <w:iCs/>
          <w:sz w:val="18"/>
          <w:szCs w:val="18"/>
        </w:rPr>
      </w:r>
    </w:p>
    <w:p>
      <w:pPr>
        <w:pStyle w:val="Normal"/>
        <w:widowControl w:val="false"/>
        <w:numPr>
          <w:ilvl w:val="0"/>
          <w:numId w:val="0"/>
        </w:numPr>
        <w:spacing w:lineRule="auto" w:line="240"/>
        <w:ind w:start="0" w:hanging="0" w:end="0"/>
        <w:outlineLvl w:val="1"/>
        <w:rPr>
          <w:b/>
          <w:sz w:val="18"/>
          <w:szCs w:val="18"/>
        </w:rPr>
      </w:pPr>
      <w:r>
        <w:rPr>
          <w:b/>
          <w:sz w:val="18"/>
          <w:szCs w:val="18"/>
        </w:rPr>
        <w:t>РЕЗУЛЬТАТЫ ГОЛОСОВАНИЯ:</w:t>
      </w:r>
    </w:p>
    <w:p>
      <w:pPr>
        <w:pStyle w:val="Normal"/>
        <w:widowControl w:val="false"/>
        <w:spacing w:lineRule="auto" w:line="240"/>
        <w:ind w:hanging="0" w:end="0"/>
        <w:rPr/>
      </w:pPr>
      <w:r>
        <w:rPr>
          <w:sz w:val="18"/>
          <w:szCs w:val="18"/>
        </w:rPr>
        <w:t>«За» __6__ членов закупочной комиссии.</w:t>
      </w:r>
    </w:p>
    <w:p>
      <w:pPr>
        <w:pStyle w:val="Normal"/>
        <w:widowControl w:val="false"/>
        <w:spacing w:lineRule="auto" w:line="240"/>
        <w:ind w:hanging="0" w:end="0"/>
        <w:rPr/>
      </w:pPr>
      <w:r>
        <w:rPr>
          <w:sz w:val="18"/>
          <w:szCs w:val="18"/>
        </w:rPr>
        <w:t>«Против» __0__ членов закупочной комиссии.</w:t>
      </w:r>
    </w:p>
    <w:p>
      <w:pPr>
        <w:pStyle w:val="Normal"/>
        <w:widowControl w:val="false"/>
        <w:spacing w:lineRule="auto" w:line="240"/>
        <w:ind w:hanging="0" w:end="0"/>
        <w:rPr>
          <w:sz w:val="18"/>
          <w:szCs w:val="18"/>
        </w:rPr>
      </w:pPr>
      <w:r>
        <w:rPr>
          <w:sz w:val="18"/>
          <w:szCs w:val="18"/>
        </w:rPr>
        <w:t>«Воздержалось» __0__ членов закупочной комиссии.</w:t>
      </w:r>
    </w:p>
    <w:p>
      <w:pPr>
        <w:pStyle w:val="Normal"/>
        <w:widowControl w:val="false"/>
        <w:spacing w:lineRule="auto" w:line="240"/>
        <w:ind w:hanging="0" w:end="0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widowControl w:val="false"/>
        <w:numPr>
          <w:ilvl w:val="0"/>
          <w:numId w:val="0"/>
        </w:numPr>
        <w:spacing w:lineRule="auto" w:line="240"/>
        <w:ind w:start="0" w:hanging="0" w:end="0"/>
        <w:outlineLvl w:val="1"/>
        <w:rPr/>
      </w:pPr>
      <w:r>
        <w:rPr/>
        <w:t>ПОДПИСИ ЧЛЕНОВ закупочной КОМИССИИ:</w:t>
      </w:r>
    </w:p>
    <w:tbl>
      <w:tblPr>
        <w:tblW w:w="9429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936"/>
        <w:gridCol w:w="2976"/>
        <w:gridCol w:w="2517"/>
      </w:tblGrid>
      <w:tr>
        <w:trPr>
          <w:trHeight w:val="594" w:hRule="atLeast"/>
          <w:cantSplit w:val="true"/>
        </w:trPr>
        <w:tc>
          <w:tcPr>
            <w:tcW w:w="3936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/>
              <w:ind w:hanging="0" w:end="0"/>
              <w:jc w:val="star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Председатель </w:t>
            </w:r>
          </w:p>
          <w:p>
            <w:pPr>
              <w:pStyle w:val="Normal"/>
              <w:widowControl w:val="false"/>
              <w:spacing w:lineRule="auto" w:line="240"/>
              <w:ind w:hanging="0" w:end="0"/>
              <w:jc w:val="star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закупочной комиссии:</w:t>
            </w:r>
          </w:p>
        </w:tc>
        <w:tc>
          <w:tcPr>
            <w:tcW w:w="2976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/>
              <w:ind w:hanging="0" w:end="0"/>
              <w:jc w:val="star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_______________________</w:t>
            </w:r>
          </w:p>
        </w:tc>
        <w:tc>
          <w:tcPr>
            <w:tcW w:w="2517" w:type="dxa"/>
            <w:tcBorders/>
            <w:vAlign w:val="bottom"/>
          </w:tcPr>
          <w:p>
            <w:pPr>
              <w:pStyle w:val="Normal"/>
              <w:spacing w:lineRule="auto" w:line="240"/>
              <w:ind w:hanging="0" w:end="0"/>
              <w:jc w:val="start"/>
              <w:rPr/>
            </w:pPr>
            <w:r>
              <w:rPr>
                <w:sz w:val="18"/>
                <w:szCs w:val="18"/>
              </w:rPr>
              <w:t>Капшуков Ф.А.</w:t>
            </w:r>
          </w:p>
        </w:tc>
      </w:tr>
      <w:tr>
        <w:trPr>
          <w:trHeight w:val="594" w:hRule="atLeast"/>
          <w:cantSplit w:val="true"/>
        </w:trPr>
        <w:tc>
          <w:tcPr>
            <w:tcW w:w="3936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/>
              <w:ind w:hanging="0" w:end="0"/>
              <w:jc w:val="star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Заместитель председателя </w:t>
            </w:r>
          </w:p>
          <w:p>
            <w:pPr>
              <w:pStyle w:val="Normal"/>
              <w:widowControl w:val="false"/>
              <w:spacing w:lineRule="auto" w:line="240"/>
              <w:ind w:hanging="0" w:end="0"/>
              <w:jc w:val="star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закупочной комиссии:</w:t>
            </w:r>
          </w:p>
        </w:tc>
        <w:tc>
          <w:tcPr>
            <w:tcW w:w="2976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/>
              <w:ind w:hanging="0" w:end="0"/>
              <w:jc w:val="star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_______________________</w:t>
            </w:r>
          </w:p>
        </w:tc>
        <w:tc>
          <w:tcPr>
            <w:tcW w:w="2517" w:type="dxa"/>
            <w:tcBorders/>
            <w:vAlign w:val="bottom"/>
          </w:tcPr>
          <w:p>
            <w:pPr>
              <w:pStyle w:val="Normal"/>
              <w:spacing w:lineRule="auto" w:line="240"/>
              <w:ind w:hanging="0" w:end="0"/>
              <w:jc w:val="start"/>
              <w:rPr/>
            </w:pPr>
            <w:r>
              <w:rPr>
                <w:sz w:val="18"/>
                <w:szCs w:val="18"/>
              </w:rPr>
              <w:t>Кузнецов П.Н.</w:t>
            </w:r>
          </w:p>
        </w:tc>
      </w:tr>
      <w:tr>
        <w:trPr>
          <w:trHeight w:val="594" w:hRule="atLeast"/>
          <w:cantSplit w:val="true"/>
        </w:trPr>
        <w:tc>
          <w:tcPr>
            <w:tcW w:w="3936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/>
              <w:ind w:hanging="0" w:end="0"/>
              <w:jc w:val="star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Члены закупочной комиссии:</w:t>
            </w:r>
          </w:p>
        </w:tc>
        <w:tc>
          <w:tcPr>
            <w:tcW w:w="2976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/>
              <w:ind w:hanging="0" w:end="0"/>
              <w:jc w:val="star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_______________________</w:t>
            </w:r>
          </w:p>
        </w:tc>
        <w:tc>
          <w:tcPr>
            <w:tcW w:w="2517" w:type="dxa"/>
            <w:tcBorders/>
            <w:vAlign w:val="bottom"/>
          </w:tcPr>
          <w:p>
            <w:pPr>
              <w:pStyle w:val="Normal"/>
              <w:spacing w:lineRule="auto" w:line="240" w:before="20" w:after="0"/>
              <w:ind w:hanging="0" w:end="0"/>
              <w:jc w:val="start"/>
              <w:rPr/>
            </w:pPr>
            <w:r>
              <w:rPr>
                <w:sz w:val="18"/>
                <w:szCs w:val="18"/>
              </w:rPr>
              <w:t>Богинский И.А.</w:t>
            </w:r>
          </w:p>
        </w:tc>
      </w:tr>
      <w:tr>
        <w:trPr>
          <w:trHeight w:val="594" w:hRule="atLeast"/>
          <w:cantSplit w:val="true"/>
        </w:trPr>
        <w:tc>
          <w:tcPr>
            <w:tcW w:w="3936" w:type="dxa"/>
            <w:tcBorders/>
            <w:vAlign w:val="bottom"/>
          </w:tcPr>
          <w:p>
            <w:pPr>
              <w:pStyle w:val="Normal"/>
              <w:widowControl w:val="false"/>
              <w:snapToGrid w:val="false"/>
              <w:spacing w:lineRule="auto" w:line="240"/>
              <w:ind w:hanging="0" w:end="0"/>
              <w:jc w:val="star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2976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/>
              <w:ind w:hanging="0" w:end="0"/>
              <w:jc w:val="star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___</w:t>
            </w:r>
            <w:r>
              <w:rPr>
                <w:i/>
                <w:sz w:val="18"/>
                <w:szCs w:val="18"/>
              </w:rPr>
              <w:t>по опросному листу_</w:t>
            </w:r>
          </w:p>
        </w:tc>
        <w:tc>
          <w:tcPr>
            <w:tcW w:w="2517" w:type="dxa"/>
            <w:tcBorders/>
            <w:vAlign w:val="bottom"/>
          </w:tcPr>
          <w:p>
            <w:pPr>
              <w:pStyle w:val="Normal"/>
              <w:spacing w:lineRule="auto" w:line="240" w:before="20" w:after="0"/>
              <w:ind w:hanging="0" w:end="0"/>
              <w:jc w:val="start"/>
              <w:rPr/>
            </w:pPr>
            <w:r>
              <w:rPr>
                <w:sz w:val="18"/>
                <w:szCs w:val="18"/>
              </w:rPr>
              <w:t>Солянин Р.В.</w:t>
            </w:r>
          </w:p>
        </w:tc>
      </w:tr>
      <w:tr>
        <w:trPr>
          <w:trHeight w:val="594" w:hRule="atLeast"/>
          <w:cantSplit w:val="true"/>
        </w:trPr>
        <w:tc>
          <w:tcPr>
            <w:tcW w:w="3936" w:type="dxa"/>
            <w:tcBorders/>
            <w:vAlign w:val="bottom"/>
          </w:tcPr>
          <w:p>
            <w:pPr>
              <w:pStyle w:val="Normal"/>
              <w:widowControl w:val="false"/>
              <w:snapToGrid w:val="false"/>
              <w:spacing w:lineRule="auto" w:line="240"/>
              <w:ind w:hanging="0" w:end="0"/>
              <w:jc w:val="star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2976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/>
              <w:ind w:hanging="0" w:end="0"/>
              <w:jc w:val="star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_______________________</w:t>
            </w:r>
          </w:p>
        </w:tc>
        <w:tc>
          <w:tcPr>
            <w:tcW w:w="2517" w:type="dxa"/>
            <w:tcBorders/>
            <w:vAlign w:val="bottom"/>
          </w:tcPr>
          <w:p>
            <w:pPr>
              <w:pStyle w:val="Normal"/>
              <w:spacing w:lineRule="auto" w:line="240" w:before="20" w:after="0"/>
              <w:ind w:hanging="0" w:end="0"/>
              <w:jc w:val="start"/>
              <w:rPr/>
            </w:pPr>
            <w:r>
              <w:rPr>
                <w:sz w:val="18"/>
                <w:szCs w:val="18"/>
              </w:rPr>
              <w:t>Дементьев Б.А.</w:t>
            </w:r>
          </w:p>
        </w:tc>
      </w:tr>
      <w:tr>
        <w:trPr>
          <w:trHeight w:val="594" w:hRule="atLeast"/>
          <w:cantSplit w:val="true"/>
        </w:trPr>
        <w:tc>
          <w:tcPr>
            <w:tcW w:w="3936" w:type="dxa"/>
            <w:tcBorders/>
            <w:vAlign w:val="bottom"/>
          </w:tcPr>
          <w:p>
            <w:pPr>
              <w:pStyle w:val="Normal"/>
              <w:widowControl w:val="false"/>
              <w:snapToGrid w:val="false"/>
              <w:spacing w:lineRule="auto" w:line="240"/>
              <w:ind w:hanging="0" w:end="0"/>
              <w:jc w:val="star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2976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/>
              <w:ind w:hanging="0" w:end="0"/>
              <w:jc w:val="star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_______________________</w:t>
            </w:r>
          </w:p>
        </w:tc>
        <w:tc>
          <w:tcPr>
            <w:tcW w:w="2517" w:type="dxa"/>
            <w:tcBorders/>
            <w:vAlign w:val="bottom"/>
          </w:tcPr>
          <w:p>
            <w:pPr>
              <w:pStyle w:val="Normal"/>
              <w:spacing w:lineRule="auto" w:line="240" w:before="20" w:after="0"/>
              <w:ind w:hanging="0" w:end="0"/>
              <w:jc w:val="start"/>
              <w:rPr/>
            </w:pPr>
            <w:r>
              <w:rPr>
                <w:sz w:val="18"/>
                <w:szCs w:val="18"/>
              </w:rPr>
              <w:t>Треухова Н.И.</w:t>
            </w:r>
          </w:p>
        </w:tc>
      </w:tr>
      <w:tr>
        <w:trPr>
          <w:trHeight w:val="594" w:hRule="atLeast"/>
          <w:cantSplit w:val="true"/>
        </w:trPr>
        <w:tc>
          <w:tcPr>
            <w:tcW w:w="3936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/>
              <w:ind w:hanging="0" w:end="0"/>
              <w:jc w:val="star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Ответственный секретарь </w:t>
            </w:r>
          </w:p>
          <w:p>
            <w:pPr>
              <w:pStyle w:val="Normal"/>
              <w:widowControl w:val="false"/>
              <w:spacing w:lineRule="auto" w:line="240"/>
              <w:ind w:hanging="0" w:end="0"/>
              <w:jc w:val="star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закупочной комиссии:</w:t>
            </w:r>
          </w:p>
        </w:tc>
        <w:tc>
          <w:tcPr>
            <w:tcW w:w="2976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/>
              <w:ind w:hanging="0" w:end="0"/>
              <w:jc w:val="star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_______________________</w:t>
            </w:r>
          </w:p>
        </w:tc>
        <w:tc>
          <w:tcPr>
            <w:tcW w:w="2517" w:type="dxa"/>
            <w:tcBorders/>
            <w:vAlign w:val="bottom"/>
          </w:tcPr>
          <w:p>
            <w:pPr>
              <w:pStyle w:val="Normal"/>
              <w:spacing w:lineRule="auto" w:line="240" w:before="20" w:after="0"/>
              <w:ind w:hanging="0" w:end="0"/>
              <w:jc w:val="star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Миненок Е.В.</w:t>
            </w:r>
          </w:p>
        </w:tc>
      </w:tr>
    </w:tbl>
    <w:p>
      <w:pPr>
        <w:pStyle w:val="Normal"/>
        <w:widowControl w:val="false"/>
        <w:spacing w:lineRule="auto" w:line="240"/>
        <w:ind w:hanging="0" w:end="0"/>
        <w:rPr>
          <w:sz w:val="22"/>
          <w:szCs w:val="22"/>
        </w:rPr>
      </w:pPr>
      <w:r>
        <w:rPr>
          <w:sz w:val="22"/>
          <w:szCs w:val="22"/>
        </w:rPr>
      </w:r>
    </w:p>
    <w:sectPr>
      <w:headerReference w:type="default" r:id="rId6"/>
      <w:footerReference w:type="default" r:id="rId7"/>
      <w:type w:val="nextPage"/>
      <w:pgSz w:w="11906" w:h="16838"/>
      <w:pgMar w:left="1134" w:right="424" w:gutter="0" w:header="284" w:top="851" w:footer="450" w:bottom="709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cc" w:characterSet="windows-1251"/>
    <w:family w:val="roman"/>
    <w:pitch w:val="variable"/>
  </w:font>
  <w:font w:name="Arial">
    <w:charset w:val="cc" w:characterSet="windows-1251"/>
    <w:family w:val="swiss"/>
    <w:pitch w:val="variable"/>
  </w:font>
  <w:font w:name="Courier New">
    <w:charset w:val="cc" w:characterSet="windows-1251"/>
    <w:family w:val="modern"/>
    <w:pitch w:val="default"/>
  </w:font>
  <w:font w:name="Wingdings">
    <w:charset w:val="02"/>
    <w:family w:val="auto"/>
    <w:pitch w:val="variable"/>
  </w:font>
  <w:font w:name="Tahoma">
    <w:charset w:val="cc" w:characterSet="windows-1251"/>
    <w:family w:val="swiss"/>
    <w:pitch w:val="variable"/>
  </w:font>
  <w:font w:name="Verdana">
    <w:charset w:val="cc" w:characterSet="windows-1251"/>
    <w:family w:val="swiss"/>
    <w:pitch w:val="variable"/>
  </w:font>
  <w:font w:name="MinionPro-Regular">
    <w:altName w:val="Times New Roman"/>
    <w:charset w:val="cc" w:characterSet="windows-1251"/>
    <w:family w:val="auto"/>
    <w:pitch w:val="default"/>
  </w:font>
  <w:font w:name="PF Din Text Cond Pro Light">
    <w:charset w:val="cc" w:characterSet="windows-1251"/>
    <w:family w:val="auto"/>
    <w:pitch w:val="variable"/>
  </w:font>
  <w:font w:name="Helios">
    <w:charset w:val="00" w:characterSet="windows-1252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end"/>
      <w:rPr/>
    </w:pPr>
    <w:r>
      <w:rPr>
        <w:rStyle w:val="PageNumber"/>
      </w:rPr>
      <w:t xml:space="preserve">стр.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</w:rPr>
      <w:t>2</w:t>
    </w:r>
    <w:r>
      <w:rPr>
        <w:rStyle w:val="PageNumber"/>
      </w:rPr>
      <w:fldChar w:fldCharType="end"/>
    </w:r>
    <w:r>
      <w:rPr>
        <w:rStyle w:val="PageNumber"/>
      </w:rPr>
      <w:t xml:space="preserve"> из 2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end"/>
      <w:rPr/>
    </w:pPr>
    <w:r>
      <w:rPr/>
      <w:t>Протокол очно</w:t>
    </w:r>
    <w:r>
      <w:rPr>
        <w:lang w:val="ru-RU"/>
      </w:rPr>
      <w:t>-заочного</w:t>
    </w:r>
    <w:r>
      <w:rPr/>
      <w:t xml:space="preserve"> заседания </w:t>
    </w:r>
    <w:r>
      <w:rPr>
        <w:lang w:val="ru-RU"/>
      </w:rPr>
      <w:t>Закупочной</w:t>
    </w:r>
    <w:r>
      <w:rPr/>
      <w:t xml:space="preserve"> комиссии </w:t>
    </w:r>
  </w:p>
  <w:p>
    <w:pPr>
      <w:pStyle w:val="Header"/>
      <w:jc w:val="end"/>
      <w:rPr/>
    </w:pPr>
    <w:r>
      <w:rPr/>
      <w:t>по</w:t>
    </w:r>
    <w:r>
      <w:rPr>
        <w:lang w:val="ru-RU"/>
      </w:rPr>
      <w:t xml:space="preserve"> </w:t>
    </w:r>
    <w:r>
      <w:rPr/>
      <w:t xml:space="preserve">рассмотрению </w:t>
    </w:r>
    <w:r>
      <w:rPr>
        <w:lang w:val="ru-RU"/>
      </w:rPr>
      <w:t xml:space="preserve">ценовых предложений </w:t>
    </w:r>
    <w:r>
      <w:rPr/>
      <w:t xml:space="preserve"> участников</w:t>
    </w:r>
  </w:p>
  <w:p>
    <w:pPr>
      <w:pStyle w:val="Header"/>
      <w:jc w:val="end"/>
      <w:rPr>
        <w:lang w:val="ru-RU"/>
      </w:rPr>
    </w:pPr>
    <w:r>
      <w:rPr>
        <w:lang w:val="ru-RU"/>
      </w:rPr>
      <w:t xml:space="preserve"> </w:t>
    </w:r>
    <w:r>
      <w:rPr/>
      <w:t xml:space="preserve">№ </w:t>
    </w:r>
    <w:r>
      <w:rPr/>
      <w:t>0</w:t>
    </w:r>
    <w:r>
      <w:rPr>
        <w:lang w:val="ru-RU"/>
      </w:rPr>
      <w:t>284-</w:t>
    </w:r>
    <w:r>
      <w:rPr/>
      <w:t>БР-25</w:t>
    </w:r>
    <w:r>
      <w:rPr>
        <w:lang w:val="ru-RU"/>
      </w:rPr>
      <w:t>-2</w:t>
    </w:r>
  </w:p>
  <w:p>
    <w:pPr>
      <w:pStyle w:val="Header"/>
      <w:jc w:val="end"/>
      <w:rPr>
        <w:sz w:val="6"/>
        <w:szCs w:val="6"/>
        <w:lang w:val="ru-RU"/>
      </w:rPr>
    </w:pPr>
    <w:r>
      <w:rPr>
        <w:sz w:val="6"/>
        <w:szCs w:val="6"/>
        <w:lang w:val="ru-RU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432"/>
        </w:tabs>
        <w:ind w:start="432" w:hanging="432"/>
      </w:pPr>
      <w:rPr/>
    </w:lvl>
    <w:lvl w:ilvl="1">
      <w:start w:val="1"/>
      <w:numFmt w:val="decimal"/>
      <w:lvlText w:val="%1.%2."/>
      <w:lvlJc w:val="start"/>
      <w:pPr>
        <w:tabs>
          <w:tab w:val="num" w:pos="576"/>
        </w:tabs>
        <w:ind w:start="576" w:hanging="576"/>
      </w:pPr>
      <w:rPr/>
    </w:lvl>
    <w:lvl w:ilvl="2">
      <w:start w:val="1"/>
      <w:numFmt w:val="decimal"/>
      <w:lvlText w:val="%1.%2.%3."/>
      <w:lvlJc w:val="start"/>
      <w:pPr>
        <w:tabs>
          <w:tab w:val="num" w:pos="720"/>
        </w:tabs>
        <w:ind w:start="720" w:hanging="720"/>
      </w:pPr>
      <w:rPr/>
    </w:lvl>
    <w:lvl w:ilvl="3">
      <w:start w:val="1"/>
      <w:numFmt w:val="decimal"/>
      <w:lvlText w:val="%1.%2.%3.%4"/>
      <w:lvlJc w:val="start"/>
      <w:pPr>
        <w:tabs>
          <w:tab w:val="num" w:pos="864"/>
        </w:tabs>
        <w:ind w:start="864" w:hanging="864"/>
      </w:pPr>
      <w:rPr/>
    </w:lvl>
    <w:lvl w:ilvl="4">
      <w:start w:val="1"/>
      <w:pStyle w:val="Heading5"/>
      <w:numFmt w:val="decimal"/>
      <w:lvlText w:val="%1.%2.%3.%4.%5"/>
      <w:lvlJc w:val="start"/>
      <w:pPr>
        <w:tabs>
          <w:tab w:val="num" w:pos="1008"/>
        </w:tabs>
        <w:ind w:start="1008" w:hanging="1008"/>
      </w:pPr>
      <w:rPr/>
    </w:lvl>
    <w:lvl w:ilvl="5">
      <w:start w:val="1"/>
      <w:pStyle w:val="Heading6"/>
      <w:numFmt w:val="decimal"/>
      <w:lvlText w:val="%1.%2.%3.%4.%5.%6"/>
      <w:lvlJc w:val="start"/>
      <w:pPr>
        <w:tabs>
          <w:tab w:val="num" w:pos="1152"/>
        </w:tabs>
        <w:ind w:start="1152" w:hanging="1152"/>
      </w:pPr>
      <w:rPr/>
    </w:lvl>
    <w:lvl w:ilvl="6">
      <w:start w:val="1"/>
      <w:pStyle w:val="Heading7"/>
      <w:numFmt w:val="decimal"/>
      <w:lvlText w:val="%1.%2.%3.%4.%5.%6.%7"/>
      <w:lvlJc w:val="start"/>
      <w:pPr>
        <w:tabs>
          <w:tab w:val="num" w:pos="1296"/>
        </w:tabs>
        <w:ind w:start="1296" w:hanging="1296"/>
      </w:pPr>
      <w:rPr/>
    </w:lvl>
    <w:lvl w:ilvl="7">
      <w:start w:val="1"/>
      <w:pStyle w:val="Heading8"/>
      <w:numFmt w:val="decimal"/>
      <w:lvlText w:val="%1.%2.%3.%4.%5.%6.%7.%8"/>
      <w:lvlJc w:val="start"/>
      <w:pPr>
        <w:tabs>
          <w:tab w:val="num" w:pos="1440"/>
        </w:tabs>
        <w:ind w:start="1440" w:hanging="1440"/>
      </w:pPr>
      <w:rPr/>
    </w:lvl>
    <w:lvl w:ilvl="8">
      <w:start w:val="1"/>
      <w:pStyle w:val="Heading9"/>
      <w:numFmt w:val="decimal"/>
      <w:lvlText w:val="%1.%2.%3.%4.%5.%6.%7.%8.%9"/>
      <w:lvlJc w:val="start"/>
      <w:pPr>
        <w:tabs>
          <w:tab w:val="num" w:pos="1584"/>
        </w:tabs>
        <w:ind w:start="1584" w:hanging="1584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926"/>
        </w:tabs>
        <w:ind w:start="926" w:hanging="360"/>
      </w:pPr>
      <w:rPr>
        <w:rFonts w:ascii="Symbol" w:hAnsi="Symbol" w:cs="Symbol" w:hint="default"/>
      </w:r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1287"/>
        </w:tabs>
        <w:ind w:start="153" w:firstLine="567"/>
      </w:pPr>
      <w:rPr>
        <w:b/>
      </w:rPr>
    </w:lvl>
    <w:lvl w:ilvl="1">
      <w:start w:val="1"/>
      <w:numFmt w:val="decimal"/>
      <w:lvlText w:val="%1.%2."/>
      <w:lvlJc w:val="start"/>
      <w:pPr>
        <w:tabs>
          <w:tab w:val="num" w:pos="708"/>
        </w:tabs>
        <w:ind w:start="2126" w:hanging="708"/>
      </w:pPr>
      <w:rPr/>
    </w:lvl>
    <w:lvl w:ilvl="2">
      <w:start w:val="1"/>
      <w:numFmt w:val="decimal"/>
      <w:lvlText w:val="%1.%2.%3."/>
      <w:lvlJc w:val="start"/>
      <w:pPr>
        <w:tabs>
          <w:tab w:val="num" w:pos="2835"/>
        </w:tabs>
        <w:ind w:start="2835" w:hanging="708"/>
      </w:pPr>
      <w:rPr/>
    </w:lvl>
    <w:lvl w:ilvl="3">
      <w:start w:val="1"/>
      <w:numFmt w:val="decimal"/>
      <w:lvlText w:val="%1.%2.%3.%4."/>
      <w:lvlJc w:val="start"/>
      <w:pPr>
        <w:tabs>
          <w:tab w:val="num" w:pos="708"/>
        </w:tabs>
        <w:ind w:start="3540" w:hanging="708"/>
      </w:pPr>
      <w:rPr/>
    </w:lvl>
    <w:lvl w:ilvl="4">
      <w:start w:val="1"/>
      <w:numFmt w:val="decimal"/>
      <w:lvlText w:val="%1.%2.%3.%4.%5."/>
      <w:lvlJc w:val="start"/>
      <w:pPr>
        <w:tabs>
          <w:tab w:val="num" w:pos="708"/>
        </w:tabs>
        <w:ind w:start="4248" w:hanging="708"/>
      </w:pPr>
      <w:rPr/>
    </w:lvl>
    <w:lvl w:ilvl="5">
      <w:start w:val="0"/>
      <w:numFmt w:val="none"/>
      <w:suff w:val="nothing"/>
      <w:lvlText w:val=""/>
      <w:lvlJc w:val="start"/>
      <w:pPr>
        <w:tabs>
          <w:tab w:val="num" w:pos="360"/>
        </w:tabs>
        <w:ind w:start="0" w:hanging="0"/>
      </w:pPr>
    </w:lvl>
    <w:lvl w:ilvl="6">
      <w:start w:val="1"/>
      <w:numFmt w:val="decimal"/>
      <w:lvlText w:val="%1.%2.%3.%4.%5.%6%7."/>
      <w:lvlJc w:val="start"/>
      <w:pPr>
        <w:tabs>
          <w:tab w:val="num" w:pos="708"/>
        </w:tabs>
        <w:ind w:start="5664" w:hanging="708"/>
      </w:pPr>
      <w:rPr/>
    </w:lvl>
    <w:lvl w:ilvl="7">
      <w:start w:val="1"/>
      <w:numFmt w:val="decimal"/>
      <w:lvlText w:val="%1.%2.%3.%4.%5.%6%7.%8."/>
      <w:lvlJc w:val="start"/>
      <w:pPr>
        <w:tabs>
          <w:tab w:val="num" w:pos="708"/>
        </w:tabs>
        <w:ind w:start="6372" w:hanging="708"/>
      </w:pPr>
      <w:rPr/>
    </w:lvl>
    <w:lvl w:ilvl="8">
      <w:start w:val="1"/>
      <w:numFmt w:val="decimal"/>
      <w:lvlText w:val="%1.%2.%3.%4.%5.%6%7.%8.%9."/>
      <w:lvlJc w:val="start"/>
      <w:pPr>
        <w:tabs>
          <w:tab w:val="num" w:pos="708"/>
        </w:tabs>
        <w:ind w:start="7080" w:hanging="708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567"/>
        </w:tabs>
        <w:ind w:start="567" w:hanging="567"/>
      </w:pPr>
      <w:rPr/>
    </w:lvl>
    <w:lvl w:ilvl="1">
      <w:start w:val="1"/>
      <w:numFmt w:val="decimal"/>
      <w:lvlText w:val="%1.%2"/>
      <w:lvlJc w:val="start"/>
      <w:pPr>
        <w:tabs>
          <w:tab w:val="num" w:pos="567"/>
        </w:tabs>
        <w:ind w:start="567" w:hanging="567"/>
      </w:pPr>
      <w:rPr/>
    </w:lvl>
    <w:lvl w:ilvl="2">
      <w:start w:val="1"/>
      <w:numFmt w:val="decimal"/>
      <w:lvlText w:val="%1.%2.%3"/>
      <w:lvlJc w:val="start"/>
      <w:pPr>
        <w:tabs>
          <w:tab w:val="num" w:pos="1134"/>
        </w:tabs>
        <w:ind w:start="1134" w:hanging="1134"/>
      </w:pPr>
      <w:rPr/>
    </w:lvl>
    <w:lvl w:ilvl="3">
      <w:start w:val="1"/>
      <w:numFmt w:val="decimal"/>
      <w:lvlText w:val="%1.%2.%3.%4"/>
      <w:lvlJc w:val="start"/>
      <w:pPr>
        <w:tabs>
          <w:tab w:val="num" w:pos="1701"/>
        </w:tabs>
        <w:ind w:start="1701" w:hanging="1134"/>
      </w:pPr>
      <w:rPr/>
    </w:lvl>
    <w:lvl w:ilvl="4">
      <w:start w:val="1"/>
      <w:numFmt w:val="decimal"/>
      <w:lvlText w:val="%1.%2.%3.%4.%5."/>
      <w:lvlJc w:val="start"/>
      <w:pPr>
        <w:tabs>
          <w:tab w:val="num" w:pos="1080"/>
        </w:tabs>
        <w:ind w:start="1080" w:hanging="1080"/>
      </w:pPr>
      <w:rPr/>
    </w:lvl>
    <w:lvl w:ilvl="5">
      <w:start w:val="1"/>
      <w:numFmt w:val="decimal"/>
      <w:lvlText w:val="%1.%2.%3.%4.%5.%6."/>
      <w:lvlJc w:val="start"/>
      <w:pPr>
        <w:tabs>
          <w:tab w:val="num" w:pos="1080"/>
        </w:tabs>
        <w:ind w:start="1080" w:hanging="1080"/>
      </w:pPr>
      <w:rPr/>
    </w:lvl>
    <w:lvl w:ilvl="6">
      <w:start w:val="1"/>
      <w:numFmt w:val="decimal"/>
      <w:lvlText w:val="%1.%2.%3.%4.%5.%6.%7."/>
      <w:lvlJc w:val="start"/>
      <w:pPr>
        <w:tabs>
          <w:tab w:val="num" w:pos="1440"/>
        </w:tabs>
        <w:ind w:start="1440" w:hanging="1440"/>
      </w:pPr>
      <w:rPr/>
    </w:lvl>
    <w:lvl w:ilvl="7">
      <w:start w:val="1"/>
      <w:numFmt w:val="decimal"/>
      <w:lvlText w:val="%1.%2.%3.%4.%5.%6.%7.%8."/>
      <w:lvlJc w:val="start"/>
      <w:pPr>
        <w:tabs>
          <w:tab w:val="num" w:pos="1440"/>
        </w:tabs>
        <w:ind w:start="1440" w:hanging="1440"/>
      </w:pPr>
      <w:rPr/>
    </w:lvl>
    <w:lvl w:ilvl="8">
      <w:start w:val="1"/>
      <w:numFmt w:val="decimal"/>
      <w:lvlText w:val="%1.%2.%3.%4.%5.%6.%7.%8.%9."/>
      <w:lvlJc w:val="start"/>
      <w:pPr>
        <w:tabs>
          <w:tab w:val="num" w:pos="1800"/>
        </w:tabs>
        <w:ind w:start="1800" w:hanging="180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134"/>
        </w:tabs>
        <w:ind w:start="1134" w:hanging="1134"/>
      </w:pPr>
      <w:rPr/>
    </w:lvl>
    <w:lvl w:ilvl="1">
      <w:start w:val="1"/>
      <w:numFmt w:val="decimal"/>
      <w:lvlText w:val="%1.%2"/>
      <w:lvlJc w:val="start"/>
      <w:pPr>
        <w:tabs>
          <w:tab w:val="num" w:pos="1134"/>
        </w:tabs>
        <w:ind w:start="1134" w:hanging="1134"/>
      </w:pPr>
      <w:rPr/>
    </w:lvl>
    <w:lvl w:ilvl="2">
      <w:start w:val="1"/>
      <w:numFmt w:val="decimal"/>
      <w:lvlText w:val="%1.%2.%3"/>
      <w:lvlJc w:val="start"/>
      <w:pPr>
        <w:tabs>
          <w:tab w:val="num" w:pos="1134"/>
        </w:tabs>
        <w:ind w:start="1134" w:hanging="1134"/>
      </w:pPr>
      <w:rPr>
        <w:i w:val="false"/>
        <w:b w:val="false"/>
      </w:rPr>
    </w:lvl>
    <w:lvl w:ilvl="3">
      <w:start w:val="1"/>
      <w:numFmt w:val="decimal"/>
      <w:lvlText w:val="%1.%2.%3.%4"/>
      <w:lvlJc w:val="start"/>
      <w:pPr>
        <w:tabs>
          <w:tab w:val="num" w:pos="1134"/>
        </w:tabs>
        <w:ind w:start="1134" w:hanging="1134"/>
      </w:pPr>
      <w:rPr>
        <w:i w:val="false"/>
        <w:b w:val="false"/>
      </w:rPr>
    </w:lvl>
    <w:lvl w:ilvl="4">
      <w:start w:val="1"/>
      <w:numFmt w:val="lowerLetter"/>
      <w:lvlText w:val="%5)"/>
      <w:lvlJc w:val="start"/>
      <w:pPr>
        <w:tabs>
          <w:tab w:val="num" w:pos="1701"/>
        </w:tabs>
        <w:ind w:start="1701" w:hanging="567"/>
      </w:pPr>
      <w:rPr/>
    </w:lvl>
    <w:lvl w:ilvl="5">
      <w:start w:val="1"/>
      <w:numFmt w:val="decimal"/>
      <w:lvlText w:val="%1.%2.%3.%4.%5.%6."/>
      <w:lvlJc w:val="start"/>
      <w:pPr>
        <w:tabs>
          <w:tab w:val="num" w:pos="3960"/>
        </w:tabs>
        <w:ind w:start="2736" w:hanging="936"/>
      </w:pPr>
      <w:rPr/>
    </w:lvl>
    <w:lvl w:ilvl="6">
      <w:start w:val="1"/>
      <w:numFmt w:val="decimal"/>
      <w:lvlText w:val="%1.%2.%3.%4.%5.%6.%7."/>
      <w:lvlJc w:val="start"/>
      <w:pPr>
        <w:tabs>
          <w:tab w:val="num" w:pos="4680"/>
        </w:tabs>
        <w:ind w:start="3240" w:hanging="1080"/>
      </w:pPr>
      <w:rPr/>
    </w:lvl>
    <w:lvl w:ilvl="7">
      <w:start w:val="1"/>
      <w:numFmt w:val="decimal"/>
      <w:lvlText w:val="%1.%2.%3.%4.%5.%6.%7.%8."/>
      <w:lvlJc w:val="start"/>
      <w:pPr>
        <w:tabs>
          <w:tab w:val="num" w:pos="5400"/>
        </w:tabs>
        <w:ind w:start="3744" w:hanging="1224"/>
      </w:pPr>
      <w:rPr/>
    </w:lvl>
    <w:lvl w:ilvl="8">
      <w:start w:val="1"/>
      <w:numFmt w:val="decimal"/>
      <w:lvlText w:val="%1.%2.%3.%4.%5.%6.%7.%8.%9."/>
      <w:lvlJc w:val="start"/>
      <w:pPr>
        <w:tabs>
          <w:tab w:val="num" w:pos="6120"/>
        </w:tabs>
        <w:ind w:start="4320" w:hanging="1440"/>
      </w:pPr>
      <w:rPr/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1430"/>
        </w:tabs>
        <w:ind w:start="1430" w:hanging="360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30"/>
  <w:defaultTabStop w:val="567"/>
  <w:autoHyphenation w:val="true"/>
  <w:hyphenationZone w:val="0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360"/>
      <w:ind w:firstLine="567" w:start="0" w:end="0"/>
      <w:jc w:val="both"/>
    </w:pPr>
    <w:rPr>
      <w:rFonts w:ascii="Times New Roman" w:hAnsi="Times New Roman" w:eastAsia="Times New Roman" w:cs="Times New Roman"/>
      <w:color w:val="auto"/>
      <w:sz w:val="28"/>
      <w:szCs w:val="20"/>
      <w:lang w:val="ru-RU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keepLines/>
      <w:pageBreakBefore/>
      <w:numPr>
        <w:ilvl w:val="0"/>
        <w:numId w:val="6"/>
      </w:numPr>
      <w:suppressAutoHyphens w:val="true"/>
      <w:spacing w:lineRule="auto" w:line="240" w:before="480" w:after="240"/>
      <w:jc w:val="start"/>
      <w:outlineLvl w:val="0"/>
    </w:pPr>
    <w:rPr>
      <w:rFonts w:ascii="Arial" w:hAnsi="Arial" w:cs="Arial"/>
      <w:b/>
      <w:kern w:val="2"/>
      <w:sz w:val="40"/>
    </w:rPr>
  </w:style>
  <w:style w:type="paragraph" w:styleId="Heading2">
    <w:name w:val="heading 2"/>
    <w:basedOn w:val="Normal"/>
    <w:next w:val="Normal"/>
    <w:qFormat/>
    <w:pPr>
      <w:keepNext w:val="true"/>
      <w:numPr>
        <w:ilvl w:val="0"/>
        <w:numId w:val="6"/>
      </w:numPr>
      <w:suppressAutoHyphens w:val="true"/>
      <w:spacing w:lineRule="auto" w:line="240" w:before="360" w:after="120"/>
      <w:jc w:val="start"/>
      <w:outlineLvl w:val="1"/>
    </w:pPr>
    <w:rPr>
      <w:b/>
      <w:sz w:val="32"/>
    </w:rPr>
  </w:style>
  <w:style w:type="paragraph" w:styleId="Heading3">
    <w:name w:val="heading 3"/>
    <w:basedOn w:val="Normal"/>
    <w:next w:val="Normal"/>
    <w:qFormat/>
    <w:pPr>
      <w:keepNext w:val="true"/>
      <w:numPr>
        <w:ilvl w:val="0"/>
        <w:numId w:val="5"/>
      </w:numPr>
      <w:suppressAutoHyphens w:val="true"/>
      <w:spacing w:lineRule="auto" w:line="240" w:before="120" w:after="120"/>
      <w:jc w:val="start"/>
      <w:outlineLvl w:val="2"/>
    </w:pPr>
    <w:rPr>
      <w:b/>
    </w:rPr>
  </w:style>
  <w:style w:type="paragraph" w:styleId="Heading4">
    <w:name w:val="heading 4"/>
    <w:basedOn w:val="Normal"/>
    <w:next w:val="Normal"/>
    <w:qFormat/>
    <w:pPr>
      <w:keepNext w:val="true"/>
      <w:numPr>
        <w:ilvl w:val="0"/>
        <w:numId w:val="5"/>
      </w:numPr>
      <w:tabs>
        <w:tab w:val="clear" w:pos="567"/>
        <w:tab w:val="left" w:pos="1134" w:leader="none"/>
      </w:tabs>
      <w:suppressAutoHyphens w:val="true"/>
      <w:spacing w:lineRule="auto" w:line="240" w:before="240" w:after="120"/>
      <w:ind w:firstLine="567" w:start="1134" w:end="0"/>
      <w:outlineLvl w:val="3"/>
    </w:pPr>
    <w:rPr>
      <w:b/>
      <w:i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tabs>
        <w:tab w:val="clear" w:pos="567"/>
        <w:tab w:val="left" w:pos="1080" w:leader="none"/>
      </w:tabs>
      <w:suppressAutoHyphens w:val="true"/>
      <w:spacing w:before="60" w:after="0"/>
      <w:ind w:hanging="1080" w:start="1080" w:end="0"/>
      <w:outlineLvl w:val="4"/>
    </w:pPr>
    <w:rPr>
      <w:b/>
      <w:sz w:val="26"/>
    </w:rPr>
  </w:style>
  <w:style w:type="paragraph" w:styleId="Heading6">
    <w:name w:val="heading 6"/>
    <w:basedOn w:val="Normal"/>
    <w:next w:val="Normal"/>
    <w:qFormat/>
    <w:pPr>
      <w:widowControl w:val="false"/>
      <w:numPr>
        <w:ilvl w:val="5"/>
        <w:numId w:val="1"/>
      </w:numPr>
      <w:tabs>
        <w:tab w:val="clear" w:pos="567"/>
        <w:tab w:val="left" w:pos="1080" w:leader="none"/>
      </w:tabs>
      <w:suppressAutoHyphens w:val="true"/>
      <w:spacing w:before="240" w:after="60"/>
      <w:ind w:hanging="1080" w:start="1080" w:end="0"/>
      <w:outlineLvl w:val="5"/>
    </w:pPr>
    <w:rPr>
      <w:b/>
      <w:sz w:val="22"/>
    </w:rPr>
  </w:style>
  <w:style w:type="paragraph" w:styleId="Heading7">
    <w:name w:val="heading 7"/>
    <w:basedOn w:val="Normal"/>
    <w:next w:val="Normal"/>
    <w:qFormat/>
    <w:pPr>
      <w:widowControl w:val="false"/>
      <w:numPr>
        <w:ilvl w:val="6"/>
        <w:numId w:val="1"/>
      </w:numPr>
      <w:tabs>
        <w:tab w:val="clear" w:pos="567"/>
        <w:tab w:val="left" w:pos="1440" w:leader="none"/>
      </w:tabs>
      <w:suppressAutoHyphens w:val="true"/>
      <w:spacing w:before="240" w:after="60"/>
      <w:ind w:hanging="1440" w:start="1440" w:end="0"/>
      <w:outlineLvl w:val="6"/>
    </w:pPr>
    <w:rPr>
      <w:sz w:val="26"/>
    </w:rPr>
  </w:style>
  <w:style w:type="paragraph" w:styleId="Heading8">
    <w:name w:val="heading 8"/>
    <w:basedOn w:val="Normal"/>
    <w:next w:val="Normal"/>
    <w:qFormat/>
    <w:pPr>
      <w:widowControl w:val="false"/>
      <w:numPr>
        <w:ilvl w:val="7"/>
        <w:numId w:val="1"/>
      </w:numPr>
      <w:suppressAutoHyphens w:val="true"/>
      <w:spacing w:before="240" w:after="60"/>
      <w:outlineLvl w:val="7"/>
    </w:pPr>
    <w:rPr>
      <w:i/>
      <w:sz w:val="26"/>
    </w:rPr>
  </w:style>
  <w:style w:type="paragraph" w:styleId="Heading9">
    <w:name w:val="heading 9"/>
    <w:basedOn w:val="Normal"/>
    <w:next w:val="Normal"/>
    <w:qFormat/>
    <w:pPr>
      <w:widowControl w:val="false"/>
      <w:numPr>
        <w:ilvl w:val="8"/>
        <w:numId w:val="1"/>
      </w:numPr>
      <w:tabs>
        <w:tab w:val="clear" w:pos="567"/>
        <w:tab w:val="left" w:pos="1800" w:leader="none"/>
      </w:tabs>
      <w:suppressAutoHyphens w:val="true"/>
      <w:spacing w:before="240" w:after="60"/>
      <w:ind w:hanging="1800" w:start="1800" w:end="0"/>
      <w:outlineLvl w:val="8"/>
    </w:pPr>
    <w:rPr>
      <w:rFonts w:ascii="Arial" w:hAnsi="Arial" w:cs="Arial"/>
      <w:sz w:val="22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2z0">
    <w:name w:val="WW8Num2z0"/>
    <w:qFormat/>
    <w:rPr>
      <w:b/>
    </w:rPr>
  </w:style>
  <w:style w:type="character" w:styleId="WW8Num2z1">
    <w:name w:val="WW8Num2z1"/>
    <w:qFormat/>
    <w:rPr/>
  </w:style>
  <w:style w:type="character" w:styleId="WW8Num3z0">
    <w:name w:val="WW8Num3z0"/>
    <w:qFormat/>
    <w:rPr>
      <w:rFonts w:ascii="Symbol" w:hAnsi="Symbol" w:cs="Symbol"/>
    </w:rPr>
  </w:style>
  <w:style w:type="character" w:styleId="WW8Num3z1">
    <w:name w:val="WW8Num3z1"/>
    <w:qFormat/>
    <w:rPr>
      <w:rFonts w:ascii="Courier New" w:hAnsi="Courier New" w:cs="Courier New"/>
    </w:rPr>
  </w:style>
  <w:style w:type="character" w:styleId="WW8Num3z2">
    <w:name w:val="WW8Num3z2"/>
    <w:qFormat/>
    <w:rPr>
      <w:rFonts w:ascii="Wingdings" w:hAnsi="Wingdings" w:cs="Wingdings"/>
    </w:rPr>
  </w:style>
  <w:style w:type="character" w:styleId="WW8Num4z0">
    <w:name w:val="WW8Num4z0"/>
    <w:qFormat/>
    <w:rPr>
      <w:b/>
    </w:rPr>
  </w:style>
  <w:style w:type="character" w:styleId="WW8Num4z1">
    <w:name w:val="WW8Num4z1"/>
    <w:qFormat/>
    <w:rPr/>
  </w:style>
  <w:style w:type="character" w:styleId="WW8Num5z0">
    <w:name w:val="WW8Num5z0"/>
    <w:qFormat/>
    <w:rPr>
      <w:rFonts w:ascii="Symbol" w:hAnsi="Symbol" w:cs="Symbol"/>
    </w:rPr>
  </w:style>
  <w:style w:type="character" w:styleId="WW8Num5z1">
    <w:name w:val="WW8Num5z1"/>
    <w:qFormat/>
    <w:rPr>
      <w:rFonts w:ascii="Courier New" w:hAnsi="Courier New" w:cs="Courier New"/>
    </w:rPr>
  </w:style>
  <w:style w:type="character" w:styleId="WW8Num5z2">
    <w:name w:val="WW8Num5z2"/>
    <w:qFormat/>
    <w:rPr>
      <w:rFonts w:ascii="Wingdings" w:hAnsi="Wingdings" w:cs="Wingdings"/>
    </w:rPr>
  </w:style>
  <w:style w:type="character" w:styleId="WW8Num6z0">
    <w:name w:val="WW8Num6z0"/>
    <w:qFormat/>
    <w:rPr/>
  </w:style>
  <w:style w:type="character" w:styleId="WW8Num7z0">
    <w:name w:val="WW8Num7z0"/>
    <w:qFormat/>
    <w:rPr/>
  </w:style>
  <w:style w:type="character" w:styleId="WW8Num8z0">
    <w:name w:val="WW8Num8z0"/>
    <w:qFormat/>
    <w:rPr/>
  </w:style>
  <w:style w:type="character" w:styleId="WW8Num9z0">
    <w:name w:val="WW8Num9z0"/>
    <w:qFormat/>
    <w:rPr>
      <w:rFonts w:ascii="Symbol" w:hAnsi="Symbol" w:cs="Symbol"/>
    </w:rPr>
  </w:style>
  <w:style w:type="character" w:styleId="WW8Num9z1">
    <w:name w:val="WW8Num9z1"/>
    <w:qFormat/>
    <w:rPr>
      <w:rFonts w:ascii="Courier New" w:hAnsi="Courier New" w:cs="Courier New"/>
    </w:rPr>
  </w:style>
  <w:style w:type="character" w:styleId="WW8Num9z2">
    <w:name w:val="WW8Num9z2"/>
    <w:qFormat/>
    <w:rPr>
      <w:rFonts w:ascii="Wingdings" w:hAnsi="Wingdings" w:cs="Wingdings"/>
    </w:rPr>
  </w:style>
  <w:style w:type="character" w:styleId="WW8Num10z0">
    <w:name w:val="WW8Num10z0"/>
    <w:qFormat/>
    <w:rPr>
      <w:b/>
    </w:rPr>
  </w:style>
  <w:style w:type="character" w:styleId="WW8Num10z1">
    <w:name w:val="WW8Num10z1"/>
    <w:qFormat/>
    <w:rPr/>
  </w:style>
  <w:style w:type="character" w:styleId="WW8Num11z0">
    <w:name w:val="WW8Num11z0"/>
    <w:qFormat/>
    <w:rPr/>
  </w:style>
  <w:style w:type="character" w:styleId="WW8Num12z0">
    <w:name w:val="WW8Num12z0"/>
    <w:qFormat/>
    <w:rPr/>
  </w:style>
  <w:style w:type="character" w:styleId="WW8Num13z0">
    <w:name w:val="WW8Num13z0"/>
    <w:qFormat/>
    <w:rPr/>
  </w:style>
  <w:style w:type="character" w:styleId="WW8Num13z2">
    <w:name w:val="WW8Num13z2"/>
    <w:qFormat/>
    <w:rPr>
      <w:b w:val="false"/>
      <w:i w:val="false"/>
    </w:rPr>
  </w:style>
  <w:style w:type="character" w:styleId="WW8Num14z0">
    <w:name w:val="WW8Num14z0"/>
    <w:qFormat/>
    <w:rPr>
      <w:rFonts w:ascii="Wingdings" w:hAnsi="Wingdings" w:cs="Wingdings"/>
    </w:rPr>
  </w:style>
  <w:style w:type="character" w:styleId="WW8Num14z1">
    <w:name w:val="WW8Num14z1"/>
    <w:qFormat/>
    <w:rPr>
      <w:rFonts w:ascii="Courier New" w:hAnsi="Courier New" w:cs="Courier New"/>
    </w:rPr>
  </w:style>
  <w:style w:type="character" w:styleId="WW8Num14z3">
    <w:name w:val="WW8Num14z3"/>
    <w:qFormat/>
    <w:rPr>
      <w:rFonts w:ascii="Symbol" w:hAnsi="Symbol" w:cs="Symbol"/>
    </w:rPr>
  </w:style>
  <w:style w:type="character" w:styleId="WW8Num15z0">
    <w:name w:val="WW8Num15z0"/>
    <w:qFormat/>
    <w:rPr>
      <w:rFonts w:ascii="Symbol" w:hAnsi="Symbol" w:cs="Symbol"/>
    </w:rPr>
  </w:style>
  <w:style w:type="character" w:styleId="WW8Num15z2">
    <w:name w:val="WW8Num15z2"/>
    <w:qFormat/>
    <w:rPr>
      <w:rFonts w:ascii="Wingdings" w:hAnsi="Wingdings" w:cs="Wingdings"/>
    </w:rPr>
  </w:style>
  <w:style w:type="character" w:styleId="WW8Num15z4">
    <w:name w:val="WW8Num15z4"/>
    <w:qFormat/>
    <w:rPr>
      <w:rFonts w:ascii="Courier New" w:hAnsi="Courier New" w:cs="Courier New"/>
    </w:rPr>
  </w:style>
  <w:style w:type="character" w:styleId="WW8Num16z0">
    <w:name w:val="WW8Num16z0"/>
    <w:qFormat/>
    <w:rPr/>
  </w:style>
  <w:style w:type="character" w:styleId="WW8Num17z0">
    <w:name w:val="WW8Num17z0"/>
    <w:qFormat/>
    <w:rPr>
      <w:rFonts w:ascii="Times New Roman" w:hAnsi="Times New Roman" w:cs="Times New Roman"/>
    </w:rPr>
  </w:style>
  <w:style w:type="character" w:styleId="WW8Num17z1">
    <w:name w:val="WW8Num17z1"/>
    <w:qFormat/>
    <w:rPr>
      <w:rFonts w:ascii="Courier New" w:hAnsi="Courier New" w:cs="Courier New"/>
    </w:rPr>
  </w:style>
  <w:style w:type="character" w:styleId="WW8Num17z2">
    <w:name w:val="WW8Num17z2"/>
    <w:qFormat/>
    <w:rPr>
      <w:rFonts w:ascii="Wingdings" w:hAnsi="Wingdings" w:cs="Wingdings"/>
    </w:rPr>
  </w:style>
  <w:style w:type="character" w:styleId="WW8Num17z3">
    <w:name w:val="WW8Num17z3"/>
    <w:qFormat/>
    <w:rPr>
      <w:rFonts w:ascii="Symbol" w:hAnsi="Symbol" w:cs="Symbol"/>
    </w:rPr>
  </w:style>
  <w:style w:type="character" w:styleId="WW8Num18z0">
    <w:name w:val="WW8Num18z0"/>
    <w:qFormat/>
    <w:rPr>
      <w:b/>
      <w:i w:val="false"/>
    </w:rPr>
  </w:style>
  <w:style w:type="character" w:styleId="WW8Num18z1">
    <w:name w:val="WW8Num18z1"/>
    <w:qFormat/>
    <w:rPr/>
  </w:style>
  <w:style w:type="character" w:styleId="WW8Num19z0">
    <w:name w:val="WW8Num19z0"/>
    <w:qFormat/>
    <w:rPr/>
  </w:style>
  <w:style w:type="character" w:styleId="WW8Num20z0">
    <w:name w:val="WW8Num20z0"/>
    <w:qFormat/>
    <w:rPr>
      <w:rFonts w:ascii="Symbol" w:hAnsi="Symbol" w:cs="Symbol"/>
    </w:rPr>
  </w:style>
  <w:style w:type="character" w:styleId="WW8Num20z1">
    <w:name w:val="WW8Num20z1"/>
    <w:qFormat/>
    <w:rPr>
      <w:rFonts w:ascii="Courier New" w:hAnsi="Courier New" w:cs="Courier New"/>
    </w:rPr>
  </w:style>
  <w:style w:type="character" w:styleId="WW8Num20z2">
    <w:name w:val="WW8Num20z2"/>
    <w:qFormat/>
    <w:rPr>
      <w:rFonts w:ascii="Wingdings" w:hAnsi="Wingdings" w:cs="Wingdings"/>
    </w:rPr>
  </w:style>
  <w:style w:type="character" w:styleId="WW8Num21z0">
    <w:name w:val="WW8Num21z0"/>
    <w:qFormat/>
    <w:rPr>
      <w:b/>
    </w:rPr>
  </w:style>
  <w:style w:type="character" w:styleId="WW8Num21z1">
    <w:name w:val="WW8Num21z1"/>
    <w:qFormat/>
    <w:rPr/>
  </w:style>
  <w:style w:type="character" w:styleId="WW8Num22z0">
    <w:name w:val="WW8Num22z0"/>
    <w:qFormat/>
    <w:rPr>
      <w:rFonts w:ascii="Symbol" w:hAnsi="Symbol" w:cs="Symbol"/>
    </w:rPr>
  </w:style>
  <w:style w:type="character" w:styleId="WW8Num22z1">
    <w:name w:val="WW8Num22z1"/>
    <w:qFormat/>
    <w:rPr>
      <w:rFonts w:ascii="Courier New" w:hAnsi="Courier New" w:cs="Courier New"/>
    </w:rPr>
  </w:style>
  <w:style w:type="character" w:styleId="WW8Num22z2">
    <w:name w:val="WW8Num22z2"/>
    <w:qFormat/>
    <w:rPr>
      <w:rFonts w:ascii="Wingdings" w:hAnsi="Wingdings" w:cs="Wingdings"/>
    </w:rPr>
  </w:style>
  <w:style w:type="character" w:styleId="WW8Num23z0">
    <w:name w:val="WW8Num23z0"/>
    <w:qFormat/>
    <w:rPr>
      <w:rFonts w:ascii="Wingdings" w:hAnsi="Wingdings" w:cs="Wingdings"/>
    </w:rPr>
  </w:style>
  <w:style w:type="character" w:styleId="WW8Num23z1">
    <w:name w:val="WW8Num23z1"/>
    <w:qFormat/>
    <w:rPr>
      <w:rFonts w:ascii="Courier New" w:hAnsi="Courier New" w:cs="Courier New"/>
    </w:rPr>
  </w:style>
  <w:style w:type="character" w:styleId="WW8Num23z3">
    <w:name w:val="WW8Num23z3"/>
    <w:qFormat/>
    <w:rPr>
      <w:rFonts w:ascii="Symbol" w:hAnsi="Symbol" w:cs="Symbol"/>
    </w:rPr>
  </w:style>
  <w:style w:type="character" w:styleId="WW8Num24z0">
    <w:name w:val="WW8Num24z0"/>
    <w:qFormat/>
    <w:rPr/>
  </w:style>
  <w:style w:type="character" w:styleId="Style5">
    <w:name w:val="Основной шрифт абзаца"/>
    <w:qFormat/>
    <w:rPr/>
  </w:style>
  <w:style w:type="character" w:styleId="Hyperlink">
    <w:name w:val="Hyperlink"/>
    <w:rPr>
      <w:color w:val="0000FF"/>
      <w:u w:val="single"/>
    </w:rPr>
  </w:style>
  <w:style w:type="character" w:styleId="FootnoteCharacters">
    <w:name w:val="Footnote Characters"/>
    <w:qFormat/>
    <w:rPr>
      <w:vertAlign w:val="superscript"/>
    </w:rPr>
  </w:style>
  <w:style w:type="character" w:styleId="PageNumber">
    <w:name w:val="page number"/>
    <w:rPr>
      <w:rFonts w:ascii="Times New Roman" w:hAnsi="Times New Roman" w:cs="Times New Roman"/>
      <w:sz w:val="20"/>
    </w:rPr>
  </w:style>
  <w:style w:type="character" w:styleId="FollowedHyperlink">
    <w:name w:val="FollowedHyperlink"/>
    <w:rPr>
      <w:color w:val="800080"/>
      <w:u w:val="single"/>
    </w:rPr>
  </w:style>
  <w:style w:type="character" w:styleId="Style6">
    <w:name w:val="Пункт Знак"/>
    <w:qFormat/>
    <w:rPr>
      <w:sz w:val="28"/>
      <w:lang w:val="ru-RU" w:bidi="ar-SA"/>
    </w:rPr>
  </w:style>
  <w:style w:type="character" w:styleId="Style7">
    <w:name w:val="комментарий"/>
    <w:qFormat/>
    <w:rPr>
      <w:b/>
      <w:i/>
      <w:shd w:fill="FFFF99" w:val="clear"/>
    </w:rPr>
  </w:style>
  <w:style w:type="character" w:styleId="1">
    <w:name w:val="Основной текст Знак1"/>
    <w:qFormat/>
    <w:rPr>
      <w:sz w:val="28"/>
      <w:szCs w:val="24"/>
      <w:lang w:val="ru-RU" w:bidi="ar-SA"/>
    </w:rPr>
  </w:style>
  <w:style w:type="character" w:styleId="Style8">
    <w:name w:val="Обычный+ без отступа Знак"/>
    <w:qFormat/>
    <w:rPr>
      <w:rFonts w:eastAsia="MS Mincho;Yu Gothic UI"/>
      <w:sz w:val="28"/>
      <w:szCs w:val="28"/>
      <w:lang w:val="ru-RU" w:bidi="ar-SA"/>
    </w:rPr>
  </w:style>
  <w:style w:type="character" w:styleId="Style9">
    <w:name w:val="Название Знак"/>
    <w:qFormat/>
    <w:rPr>
      <w:sz w:val="28"/>
    </w:rPr>
  </w:style>
  <w:style w:type="character" w:styleId="Style10">
    <w:name w:val="Верхний колонтитул Знак"/>
    <w:qFormat/>
    <w:rPr>
      <w:i/>
    </w:rPr>
  </w:style>
  <w:style w:type="paragraph" w:styleId="Heading">
    <w:name w:val="Heading"/>
    <w:basedOn w:val="Normal"/>
    <w:next w:val="BodyText"/>
    <w:qFormat/>
    <w:pPr>
      <w:spacing w:lineRule="auto" w:line="240"/>
      <w:ind w:hanging="0" w:start="0" w:end="0"/>
      <w:jc w:val="center"/>
    </w:pPr>
    <w:rPr>
      <w:lang w:val="en-US"/>
    </w:rPr>
  </w:style>
  <w:style w:type="paragraph" w:styleId="BodyText">
    <w:name w:val="Body Text"/>
    <w:basedOn w:val="Normal"/>
    <w:pPr>
      <w:tabs>
        <w:tab w:val="clear" w:pos="567"/>
        <w:tab w:val="right" w:pos="9360" w:leader="none"/>
      </w:tabs>
      <w:spacing w:lineRule="auto" w:line="240"/>
      <w:ind w:hanging="0" w:start="0" w:end="0"/>
      <w:jc w:val="start"/>
    </w:pPr>
    <w:rPr>
      <w:szCs w:val="24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>
      <w:suppressLineNumbers/>
      <w:tabs>
        <w:tab w:val="clear" w:pos="567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pBdr>
        <w:bottom w:val="single" w:sz="4" w:space="1" w:color="000000"/>
      </w:pBdr>
      <w:tabs>
        <w:tab w:val="clear" w:pos="567"/>
        <w:tab w:val="center" w:pos="4153" w:leader="none"/>
        <w:tab w:val="right" w:pos="8306" w:leader="none"/>
      </w:tabs>
      <w:spacing w:lineRule="auto" w:line="240"/>
      <w:ind w:hanging="0" w:start="0" w:end="0"/>
      <w:jc w:val="center"/>
    </w:pPr>
    <w:rPr>
      <w:i/>
      <w:sz w:val="20"/>
      <w:lang w:val="en-US"/>
    </w:rPr>
  </w:style>
  <w:style w:type="paragraph" w:styleId="Footer">
    <w:name w:val="footer"/>
    <w:basedOn w:val="Normal"/>
    <w:pPr>
      <w:tabs>
        <w:tab w:val="clear" w:pos="567"/>
        <w:tab w:val="center" w:pos="4253" w:leader="none"/>
        <w:tab w:val="right" w:pos="9356" w:leader="none"/>
      </w:tabs>
      <w:spacing w:lineRule="auto" w:line="240"/>
      <w:ind w:hanging="0" w:start="0" w:end="0"/>
    </w:pPr>
    <w:rPr>
      <w:sz w:val="20"/>
    </w:rPr>
  </w:style>
  <w:style w:type="paragraph" w:styleId="TOC1">
    <w:name w:val="toc 1"/>
    <w:basedOn w:val="Normal"/>
    <w:next w:val="Normal"/>
    <w:pPr>
      <w:tabs>
        <w:tab w:val="clear" w:pos="567"/>
        <w:tab w:val="left" w:pos="540" w:leader="none"/>
        <w:tab w:val="right" w:pos="10195" w:leader="dot"/>
      </w:tabs>
      <w:spacing w:lineRule="auto" w:line="240" w:before="240" w:after="120"/>
      <w:ind w:hanging="539" w:start="539" w:end="1134"/>
      <w:jc w:val="start"/>
    </w:pPr>
    <w:rPr>
      <w:b/>
      <w:bCs/>
      <w:caps/>
      <w:szCs w:val="28"/>
      <w:lang w:val="en-US" w:eastAsia="en-US"/>
    </w:rPr>
  </w:style>
  <w:style w:type="paragraph" w:styleId="TOC2">
    <w:name w:val="toc 2"/>
    <w:basedOn w:val="Normal"/>
    <w:next w:val="Normal"/>
    <w:pPr>
      <w:tabs>
        <w:tab w:val="clear" w:pos="567"/>
        <w:tab w:val="left" w:pos="1080" w:leader="none"/>
        <w:tab w:val="right" w:pos="10195" w:leader="dot"/>
      </w:tabs>
      <w:spacing w:lineRule="auto" w:line="240" w:before="120" w:after="120"/>
      <w:ind w:hanging="594" w:start="1134" w:end="1134"/>
      <w:jc w:val="start"/>
    </w:pPr>
    <w:rPr>
      <w:b/>
      <w:sz w:val="24"/>
      <w:szCs w:val="24"/>
      <w:lang w:val="en-US" w:eastAsia="en-US"/>
    </w:rPr>
  </w:style>
  <w:style w:type="paragraph" w:styleId="TOC3">
    <w:name w:val="toc 3"/>
    <w:basedOn w:val="Normal"/>
    <w:next w:val="Normal"/>
    <w:pPr>
      <w:tabs>
        <w:tab w:val="clear" w:pos="567"/>
        <w:tab w:val="left" w:pos="1980" w:leader="none"/>
        <w:tab w:val="right" w:pos="10195" w:leader="dot"/>
      </w:tabs>
      <w:spacing w:lineRule="auto" w:line="240" w:before="0" w:after="120"/>
      <w:ind w:hanging="902" w:start="1979" w:end="1134"/>
      <w:jc w:val="start"/>
    </w:pPr>
    <w:rPr>
      <w:iCs/>
      <w:sz w:val="24"/>
      <w:szCs w:val="24"/>
      <w:lang w:val="en-US" w:eastAsia="en-US"/>
    </w:rPr>
  </w:style>
  <w:style w:type="paragraph" w:styleId="TOC4">
    <w:name w:val="toc 4"/>
    <w:basedOn w:val="Normal"/>
    <w:next w:val="Normal"/>
    <w:pPr>
      <w:tabs>
        <w:tab w:val="clear" w:pos="567"/>
        <w:tab w:val="left" w:pos="2268" w:leader="none"/>
        <w:tab w:val="right" w:pos="10195" w:leader="dot"/>
      </w:tabs>
      <w:spacing w:lineRule="auto" w:line="240" w:before="0" w:after="60"/>
      <w:ind w:hanging="567" w:start="2268" w:end="1134"/>
      <w:jc w:val="start"/>
    </w:pPr>
    <w:rPr>
      <w:sz w:val="24"/>
      <w:szCs w:val="24"/>
    </w:rPr>
  </w:style>
  <w:style w:type="paragraph" w:styleId="Style11">
    <w:name w:val="Схема документа"/>
    <w:basedOn w:val="Normal"/>
    <w:qFormat/>
    <w:pPr>
      <w:shd w:fill="000080" w:val="clear"/>
    </w:pPr>
    <w:rPr>
      <w:rFonts w:ascii="Tahoma" w:hAnsi="Tahoma" w:cs="Tahoma"/>
      <w:sz w:val="20"/>
    </w:rPr>
  </w:style>
  <w:style w:type="paragraph" w:styleId="Style12">
    <w:name w:val="Таблица шапка"/>
    <w:basedOn w:val="Normal"/>
    <w:qFormat/>
    <w:pPr>
      <w:keepNext w:val="true"/>
      <w:spacing w:lineRule="auto" w:line="240" w:before="40" w:after="40"/>
      <w:ind w:hanging="0" w:start="57" w:end="57"/>
      <w:jc w:val="start"/>
    </w:pPr>
    <w:rPr>
      <w:sz w:val="22"/>
    </w:rPr>
  </w:style>
  <w:style w:type="paragraph" w:styleId="FootnoteText">
    <w:name w:val="footnote text"/>
    <w:basedOn w:val="Normal"/>
    <w:pPr>
      <w:spacing w:lineRule="auto" w:line="240"/>
    </w:pPr>
    <w:rPr>
      <w:sz w:val="20"/>
    </w:rPr>
  </w:style>
  <w:style w:type="paragraph" w:styleId="Style13">
    <w:name w:val="Таблица текст"/>
    <w:basedOn w:val="Normal"/>
    <w:qFormat/>
    <w:pPr>
      <w:spacing w:lineRule="auto" w:line="240" w:before="40" w:after="40"/>
      <w:ind w:hanging="0" w:start="57" w:end="57"/>
      <w:jc w:val="start"/>
    </w:pPr>
    <w:rPr>
      <w:sz w:val="24"/>
    </w:rPr>
  </w:style>
  <w:style w:type="paragraph" w:styleId="Style14">
    <w:name w:val="Название объекта"/>
    <w:basedOn w:val="Normal"/>
    <w:next w:val="Normal"/>
    <w:qFormat/>
    <w:pPr>
      <w:pageBreakBefore/>
      <w:suppressAutoHyphens w:val="true"/>
      <w:spacing w:lineRule="auto" w:line="240" w:before="120" w:after="120"/>
      <w:ind w:hanging="0" w:start="0" w:end="0"/>
    </w:pPr>
    <w:rPr>
      <w:bCs/>
      <w:i/>
      <w:sz w:val="24"/>
    </w:rPr>
  </w:style>
  <w:style w:type="paragraph" w:styleId="TOC5">
    <w:name w:val="toc 5"/>
    <w:basedOn w:val="Normal"/>
    <w:next w:val="Normal"/>
    <w:pPr>
      <w:ind w:firstLine="567" w:start="1120" w:end="0"/>
      <w:jc w:val="start"/>
    </w:pPr>
    <w:rPr>
      <w:sz w:val="18"/>
      <w:szCs w:val="18"/>
    </w:rPr>
  </w:style>
  <w:style w:type="paragraph" w:styleId="TOC6">
    <w:name w:val="toc 6"/>
    <w:basedOn w:val="Normal"/>
    <w:next w:val="Normal"/>
    <w:pPr>
      <w:ind w:firstLine="567" w:start="1400" w:end="0"/>
      <w:jc w:val="start"/>
    </w:pPr>
    <w:rPr>
      <w:sz w:val="18"/>
      <w:szCs w:val="18"/>
    </w:rPr>
  </w:style>
  <w:style w:type="paragraph" w:styleId="TOC7">
    <w:name w:val="toc 7"/>
    <w:basedOn w:val="Normal"/>
    <w:next w:val="Normal"/>
    <w:pPr>
      <w:ind w:firstLine="567" w:start="1680" w:end="0"/>
      <w:jc w:val="start"/>
    </w:pPr>
    <w:rPr>
      <w:sz w:val="18"/>
      <w:szCs w:val="18"/>
    </w:rPr>
  </w:style>
  <w:style w:type="paragraph" w:styleId="TOC8">
    <w:name w:val="toc 8"/>
    <w:basedOn w:val="Normal"/>
    <w:next w:val="Normal"/>
    <w:pPr>
      <w:ind w:firstLine="567" w:start="1960" w:end="0"/>
      <w:jc w:val="start"/>
    </w:pPr>
    <w:rPr>
      <w:sz w:val="18"/>
      <w:szCs w:val="18"/>
    </w:rPr>
  </w:style>
  <w:style w:type="paragraph" w:styleId="TOC9">
    <w:name w:val="toc 9"/>
    <w:basedOn w:val="Normal"/>
    <w:next w:val="Normal"/>
    <w:pPr>
      <w:ind w:firstLine="567" w:start="2240" w:end="0"/>
      <w:jc w:val="start"/>
    </w:pPr>
    <w:rPr>
      <w:sz w:val="18"/>
      <w:szCs w:val="18"/>
    </w:rPr>
  </w:style>
  <w:style w:type="paragraph" w:styleId="Style15">
    <w:name w:val="Структура"/>
    <w:basedOn w:val="Normal"/>
    <w:qFormat/>
    <w:pPr>
      <w:pageBreakBefore/>
      <w:pBdr>
        <w:bottom w:val="thinThickSmallGap" w:sz="24" w:space="1" w:color="000000"/>
      </w:pBdr>
      <w:tabs>
        <w:tab w:val="clear" w:pos="567"/>
        <w:tab w:val="left" w:pos="851" w:leader="none"/>
      </w:tabs>
      <w:suppressAutoHyphens w:val="true"/>
      <w:spacing w:lineRule="auto" w:line="240" w:before="480" w:after="240"/>
      <w:ind w:hanging="0" w:start="0" w:end="2835"/>
      <w:jc w:val="start"/>
      <w:outlineLvl w:val="0"/>
    </w:pPr>
    <w:rPr>
      <w:rFonts w:ascii="Arial" w:hAnsi="Arial" w:cs="Arial"/>
      <w:b/>
      <w:caps/>
      <w:sz w:val="36"/>
      <w:szCs w:val="36"/>
    </w:rPr>
  </w:style>
  <w:style w:type="paragraph" w:styleId="Style16">
    <w:name w:val="Главы"/>
    <w:basedOn w:val="Style15"/>
    <w:next w:val="Normal"/>
    <w:qFormat/>
    <w:pPr>
      <w:numPr>
        <w:ilvl w:val="0"/>
        <w:numId w:val="0"/>
      </w:numPr>
      <w:pBdr>
        <w:bottom w:val="nil"/>
      </w:pBdr>
      <w:spacing w:lineRule="auto" w:line="360" w:before="1440" w:after="720"/>
      <w:ind w:hanging="0" w:start="0" w:end="0"/>
      <w:jc w:val="center"/>
    </w:pPr>
    <w:rPr>
      <w:spacing w:val="40"/>
      <w:sz w:val="44"/>
      <w:szCs w:val="44"/>
    </w:rPr>
  </w:style>
  <w:style w:type="paragraph" w:styleId="Style17">
    <w:name w:val="Служебный"/>
    <w:basedOn w:val="Style16"/>
    <w:qFormat/>
    <w:pPr>
      <w:numPr>
        <w:ilvl w:val="0"/>
        <w:numId w:val="0"/>
      </w:numPr>
      <w:ind w:hanging="0" w:start="0" w:end="0"/>
    </w:pPr>
    <w:rPr/>
  </w:style>
  <w:style w:type="paragraph" w:styleId="Style18">
    <w:name w:val="маркированный"/>
    <w:basedOn w:val="Normal"/>
    <w:qFormat/>
    <w:pPr>
      <w:ind w:hanging="0" w:start="0" w:end="0"/>
    </w:pPr>
    <w:rPr/>
  </w:style>
  <w:style w:type="paragraph" w:styleId="Style19">
    <w:name w:val="Пункт"/>
    <w:basedOn w:val="Normal"/>
    <w:qFormat/>
    <w:pPr>
      <w:numPr>
        <w:ilvl w:val="0"/>
        <w:numId w:val="6"/>
      </w:numPr>
    </w:pPr>
    <w:rPr/>
  </w:style>
  <w:style w:type="paragraph" w:styleId="Style20">
    <w:name w:val="Подпункт"/>
    <w:basedOn w:val="Normal"/>
    <w:qFormat/>
    <w:pPr>
      <w:tabs>
        <w:tab w:val="clear" w:pos="567"/>
        <w:tab w:val="left" w:pos="1134" w:leader="none"/>
      </w:tabs>
      <w:ind w:hanging="1134" w:start="1134" w:end="0"/>
    </w:pPr>
    <w:rPr/>
  </w:style>
  <w:style w:type="paragraph" w:styleId="-2">
    <w:name w:val="Пункт-2"/>
    <w:basedOn w:val="Style19"/>
    <w:qFormat/>
    <w:pPr>
      <w:keepNext w:val="true"/>
      <w:outlineLvl w:val="2"/>
    </w:pPr>
    <w:rPr>
      <w:b/>
    </w:rPr>
  </w:style>
  <w:style w:type="paragraph" w:styleId="Style21">
    <w:name w:val="Подподпункт"/>
    <w:basedOn w:val="Normal"/>
    <w:qFormat/>
    <w:pPr>
      <w:numPr>
        <w:ilvl w:val="0"/>
        <w:numId w:val="6"/>
      </w:numPr>
    </w:pPr>
    <w:rPr/>
  </w:style>
  <w:style w:type="paragraph" w:styleId="Style22">
    <w:name w:val="Нумерованный список"/>
    <w:basedOn w:val="Normal"/>
    <w:qFormat/>
    <w:pPr>
      <w:autoSpaceDE w:val="false"/>
      <w:spacing w:before="60" w:after="0"/>
      <w:ind w:hanging="0" w:start="0" w:end="0"/>
    </w:pPr>
    <w:rPr>
      <w:szCs w:val="24"/>
    </w:rPr>
  </w:style>
  <w:style w:type="paragraph" w:styleId="Style23">
    <w:name w:val="Текст таблицы"/>
    <w:basedOn w:val="Normal"/>
    <w:qFormat/>
    <w:pPr>
      <w:spacing w:lineRule="auto" w:line="240" w:before="40" w:after="40"/>
      <w:ind w:hanging="0" w:start="57" w:end="57"/>
      <w:jc w:val="start"/>
    </w:pPr>
    <w:rPr>
      <w:sz w:val="24"/>
      <w:szCs w:val="24"/>
    </w:rPr>
  </w:style>
  <w:style w:type="paragraph" w:styleId="Style24">
    <w:name w:val="Пункт б/н"/>
    <w:basedOn w:val="Normal"/>
    <w:qFormat/>
    <w:pPr>
      <w:tabs>
        <w:tab w:val="clear" w:pos="567"/>
        <w:tab w:val="left" w:pos="1134" w:leader="none"/>
      </w:tabs>
    </w:pPr>
    <w:rPr/>
  </w:style>
  <w:style w:type="paragraph" w:styleId="Style25">
    <w:name w:val="Маркированный список"/>
    <w:basedOn w:val="Normal"/>
    <w:qFormat/>
    <w:pPr>
      <w:spacing w:lineRule="auto" w:line="240"/>
      <w:ind w:hanging="374" w:start="731" w:end="0"/>
    </w:pPr>
    <w:rPr/>
  </w:style>
  <w:style w:type="paragraph" w:styleId="Style26">
    <w:name w:val="Текст выноски"/>
    <w:basedOn w:val="Normal"/>
    <w:qFormat/>
    <w:pPr/>
    <w:rPr>
      <w:rFonts w:ascii="Tahoma" w:hAnsi="Tahoma" w:cs="Tahoma"/>
      <w:sz w:val="16"/>
      <w:szCs w:val="16"/>
    </w:rPr>
  </w:style>
  <w:style w:type="paragraph" w:styleId="Style27">
    <w:name w:val="Текст примечания"/>
    <w:basedOn w:val="Normal"/>
    <w:qFormat/>
    <w:pPr/>
    <w:rPr>
      <w:sz w:val="20"/>
    </w:rPr>
  </w:style>
  <w:style w:type="paragraph" w:styleId="Style28">
    <w:name w:val="Тема примечания"/>
    <w:basedOn w:val="Style27"/>
    <w:next w:val="Style27"/>
    <w:qFormat/>
    <w:pPr/>
    <w:rPr>
      <w:b/>
      <w:bCs/>
    </w:rPr>
  </w:style>
  <w:style w:type="paragraph" w:styleId="3">
    <w:name w:val="Маркированный список 3"/>
    <w:basedOn w:val="Normal"/>
    <w:qFormat/>
    <w:pPr>
      <w:numPr>
        <w:ilvl w:val="0"/>
        <w:numId w:val="2"/>
      </w:numPr>
      <w:tabs>
        <w:tab w:val="clear" w:pos="567"/>
        <w:tab w:val="left" w:pos="1080" w:leader="none"/>
      </w:tabs>
      <w:spacing w:before="120" w:after="0"/>
      <w:ind w:firstLine="720" w:start="0" w:end="0"/>
    </w:pPr>
    <w:rPr>
      <w:i/>
      <w:iCs/>
      <w:sz w:val="24"/>
      <w:szCs w:val="24"/>
    </w:rPr>
  </w:style>
  <w:style w:type="paragraph" w:styleId="2">
    <w:name w:val="Маркированный список 2"/>
    <w:basedOn w:val="Normal"/>
    <w:qFormat/>
    <w:pPr>
      <w:widowControl w:val="false"/>
      <w:numPr>
        <w:ilvl w:val="0"/>
        <w:numId w:val="7"/>
      </w:numPr>
      <w:spacing w:before="120" w:after="0"/>
      <w:ind w:hanging="357" w:start="1429" w:end="0"/>
    </w:pPr>
    <w:rPr/>
  </w:style>
  <w:style w:type="paragraph" w:styleId="21">
    <w:name w:val="Основной текст 2"/>
    <w:basedOn w:val="Normal"/>
    <w:qFormat/>
    <w:pPr>
      <w:tabs>
        <w:tab w:val="clear" w:pos="567"/>
        <w:tab w:val="left" w:pos="2201" w:leader="none"/>
      </w:tabs>
      <w:spacing w:lineRule="auto" w:line="240"/>
      <w:ind w:hanging="0" w:start="0" w:end="0"/>
      <w:jc w:val="center"/>
    </w:pPr>
    <w:rPr>
      <w:kern w:val="2"/>
    </w:rPr>
  </w:style>
  <w:style w:type="paragraph" w:styleId="BodyTextIndent">
    <w:name w:val="Body Text Indent"/>
    <w:basedOn w:val="Normal"/>
    <w:pPr>
      <w:spacing w:lineRule="auto" w:line="240"/>
    </w:pPr>
    <w:rPr>
      <w:i/>
    </w:rPr>
  </w:style>
  <w:style w:type="paragraph" w:styleId="22">
    <w:name w:val="Основной текст с отступом 2"/>
    <w:basedOn w:val="Normal"/>
    <w:qFormat/>
    <w:pPr>
      <w:spacing w:lineRule="auto" w:line="240"/>
    </w:pPr>
    <w:rPr>
      <w:szCs w:val="24"/>
    </w:rPr>
  </w:style>
  <w:style w:type="paragraph" w:styleId="11">
    <w:name w:val="Стиль Заголовок 1 + по ширине"/>
    <w:basedOn w:val="Heading1"/>
    <w:qFormat/>
    <w:pPr>
      <w:pageBreakBefore w:val="false"/>
      <w:numPr>
        <w:ilvl w:val="0"/>
        <w:numId w:val="5"/>
      </w:numPr>
      <w:jc w:val="both"/>
    </w:pPr>
    <w:rPr>
      <w:bCs/>
    </w:rPr>
  </w:style>
  <w:style w:type="paragraph" w:styleId="31">
    <w:name w:val="заголовок 3"/>
    <w:basedOn w:val="Normal"/>
    <w:next w:val="Normal"/>
    <w:qFormat/>
    <w:pPr>
      <w:keepNext w:val="true"/>
      <w:autoSpaceDE w:val="false"/>
      <w:spacing w:before="120" w:after="0"/>
      <w:ind w:firstLine="720" w:start="0" w:end="0"/>
      <w:jc w:val="center"/>
      <w:outlineLvl w:val="2"/>
    </w:pPr>
    <w:rPr>
      <w:sz w:val="20"/>
      <w:szCs w:val="24"/>
    </w:rPr>
  </w:style>
  <w:style w:type="paragraph" w:styleId="Style29">
    <w:name w:val="Обычный+ без отступа"/>
    <w:basedOn w:val="Normal"/>
    <w:qFormat/>
    <w:pPr>
      <w:autoSpaceDE w:val="false"/>
      <w:spacing w:before="120" w:after="0"/>
      <w:ind w:hanging="0" w:start="0" w:end="0"/>
    </w:pPr>
    <w:rPr>
      <w:rFonts w:eastAsia="MS Mincho;Yu Gothic UI"/>
      <w:szCs w:val="28"/>
    </w:rPr>
  </w:style>
  <w:style w:type="paragraph" w:styleId="Style30">
    <w:name w:val="Приложение"/>
    <w:basedOn w:val="Heading1"/>
    <w:qFormat/>
    <w:pPr>
      <w:pageBreakBefore w:val="false"/>
      <w:numPr>
        <w:ilvl w:val="0"/>
        <w:numId w:val="0"/>
      </w:numPr>
      <w:spacing w:lineRule="auto" w:line="360" w:before="60" w:after="0"/>
      <w:ind w:hanging="0" w:start="0" w:end="0"/>
      <w:jc w:val="center"/>
    </w:pPr>
    <w:rPr>
      <w:rFonts w:cs="Arial"/>
      <w:bCs/>
      <w:kern w:val="0"/>
      <w:sz w:val="28"/>
      <w:szCs w:val="28"/>
    </w:rPr>
  </w:style>
  <w:style w:type="paragraph" w:styleId="Style31">
    <w:name w:val="Подподподпункт"/>
    <w:basedOn w:val="Normal"/>
    <w:qFormat/>
    <w:pPr>
      <w:tabs>
        <w:tab w:val="clear" w:pos="567"/>
        <w:tab w:val="left" w:pos="1134" w:leader="none"/>
        <w:tab w:val="left" w:pos="1701" w:leader="none"/>
        <w:tab w:val="left" w:pos="2448" w:leader="none"/>
      </w:tabs>
      <w:ind w:hanging="1008" w:start="2448" w:end="0"/>
    </w:pPr>
    <w:rPr/>
  </w:style>
  <w:style w:type="paragraph" w:styleId="12">
    <w:name w:val="Пункт1"/>
    <w:basedOn w:val="Normal"/>
    <w:qFormat/>
    <w:pPr>
      <w:numPr>
        <w:ilvl w:val="0"/>
        <w:numId w:val="5"/>
      </w:numPr>
      <w:spacing w:before="240" w:after="0"/>
      <w:jc w:val="center"/>
    </w:pPr>
    <w:rPr>
      <w:rFonts w:ascii="Arial" w:hAnsi="Arial" w:cs="Arial"/>
      <w:b/>
      <w:szCs w:val="28"/>
    </w:rPr>
  </w:style>
  <w:style w:type="paragraph" w:styleId="32">
    <w:name w:val="Основной текст с отступом 3"/>
    <w:basedOn w:val="Normal"/>
    <w:qFormat/>
    <w:pPr>
      <w:spacing w:lineRule="auto" w:line="240"/>
    </w:pPr>
    <w:rPr>
      <w:i/>
      <w:sz w:val="26"/>
      <w:szCs w:val="26"/>
    </w:rPr>
  </w:style>
  <w:style w:type="paragraph" w:styleId="Style32">
    <w:name w:val="Знак Знак Знак Знак Знак Знак"/>
    <w:basedOn w:val="Normal"/>
    <w:next w:val="Heading1"/>
    <w:qFormat/>
    <w:pPr>
      <w:spacing w:lineRule="exact" w:line="240" w:before="0" w:after="160"/>
      <w:ind w:hanging="0" w:start="0" w:end="0"/>
    </w:pPr>
    <w:rPr>
      <w:rFonts w:ascii="Verdana" w:hAnsi="Verdana" w:cs="Verdana"/>
      <w:sz w:val="20"/>
      <w:lang w:val="en-US"/>
    </w:rPr>
  </w:style>
  <w:style w:type="paragraph" w:styleId="DefaultParagraphFontParaCharChar">
    <w:name w:val="Default Paragraph Font Para Char Char Знак"/>
    <w:basedOn w:val="Normal"/>
    <w:qFormat/>
    <w:pPr>
      <w:spacing w:lineRule="exact" w:line="240" w:before="0" w:after="160"/>
      <w:ind w:hanging="0" w:start="0" w:end="0"/>
      <w:jc w:val="start"/>
    </w:pPr>
    <w:rPr>
      <w:rFonts w:ascii="Verdana" w:hAnsi="Verdana" w:cs="Verdana"/>
      <w:sz w:val="20"/>
      <w:lang w:val="en-US"/>
    </w:rPr>
  </w:style>
  <w:style w:type="paragraph" w:styleId="CharChar">
    <w:name w:val="Char Char Знак Знак Знак Знак"/>
    <w:basedOn w:val="Normal"/>
    <w:qFormat/>
    <w:pPr>
      <w:spacing w:lineRule="exact" w:line="240" w:before="0" w:after="160"/>
      <w:ind w:hanging="0" w:start="0" w:end="0"/>
      <w:jc w:val="start"/>
    </w:pPr>
    <w:rPr>
      <w:rFonts w:ascii="Verdana" w:hAnsi="Verdana" w:cs="Verdana"/>
      <w:sz w:val="20"/>
      <w:lang w:val="en-US"/>
    </w:rPr>
  </w:style>
  <w:style w:type="paragraph" w:styleId="Style33">
    <w:name w:val="Абзац списка"/>
    <w:basedOn w:val="Normal"/>
    <w:qFormat/>
    <w:pPr>
      <w:ind w:firstLine="567" w:start="708" w:end="0"/>
    </w:pPr>
    <w:rPr/>
  </w:style>
  <w:style w:type="paragraph" w:styleId="NormalWeb">
    <w:name w:val="Normal (Web)"/>
    <w:basedOn w:val="Normal"/>
    <w:qFormat/>
    <w:pPr>
      <w:spacing w:lineRule="auto" w:line="240" w:before="100" w:after="100"/>
      <w:ind w:hanging="0" w:start="0" w:end="0"/>
      <w:jc w:val="start"/>
    </w:pPr>
    <w:rPr>
      <w:sz w:val="20"/>
    </w:rPr>
  </w:style>
  <w:style w:type="paragraph" w:styleId="Style34">
    <w:name w:val="[Основной абзац]"/>
    <w:basedOn w:val="Normal"/>
    <w:qFormat/>
    <w:pPr>
      <w:widowControl w:val="false"/>
      <w:autoSpaceDE w:val="false"/>
      <w:spacing w:lineRule="auto" w:line="288"/>
      <w:ind w:hanging="0" w:start="0" w:end="0"/>
      <w:jc w:val="start"/>
      <w:textAlignment w:val="center"/>
    </w:pPr>
    <w:rPr>
      <w:rFonts w:ascii="MinionPro-Regular;Times New Roman" w:hAnsi="MinionPro-Regular;Times New Roman" w:eastAsia="Cambria" w:cs="MinionPro-Regular;Times New Roman"/>
      <w:color w:val="000000"/>
      <w:sz w:val="24"/>
      <w:szCs w:val="24"/>
    </w:rPr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  <w:style w:type="numbering" w:styleId="WW8Num22">
    <w:name w:val="WW8Num22"/>
    <w:qFormat/>
  </w:style>
  <w:style w:type="numbering" w:styleId="WW8Num23">
    <w:name w:val="WW8Num23"/>
    <w:qFormat/>
  </w:style>
  <w:style w:type="numbering" w:styleId="WW8Num24">
    <w:name w:val="WW8Num24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hyperlink" Target="http://www.zakupki.gov.ru/" TargetMode="External"/><Relationship Id="rId4" Type="http://schemas.openxmlformats.org/officeDocument/2006/relationships/hyperlink" Target="http://www.tender.lot-online.ru/" TargetMode="External"/><Relationship Id="rId5" Type="http://schemas.openxmlformats.org/officeDocument/2006/relationships/hyperlink" Target="http://www.mrsk-1.ru/" TargetMode="Externa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736</TotalTime>
  <Application>LibreOffice/25.8.3.2$Linux_X86_64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2019-11-27T11:45:00Z</dcterms:created>
  <dc:creator>С.Б.Дашков</dc:creator>
  <dc:description/>
  <cp:keywords/>
  <dc:language>en-US</dc:language>
  <cp:lastModifiedBy>Миненок Евгения Валерьевна</cp:lastModifiedBy>
  <cp:lastPrinted>2021-03-02T08:45:00Z</cp:lastPrinted>
  <dcterms:modified xsi:type="dcterms:W3CDTF">2025-12-15T06:53:00Z</dcterms:modified>
  <cp:revision>218</cp:revision>
  <dc:subject/>
  <dc:title>Типовая закупочная документация</dc:title>
</cp:coreProperties>
</file>