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rPr>
          <w:b/>
          <w:bCs/>
          <w:caps/>
          <w:lang w:val="en-US" w:eastAsia="en-US"/>
        </w:rPr>
      </w:pPr>
      <w:r>
        <w:rPr>
          <w:b/>
          <w:bCs/>
          <w:caps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2672715</wp:posOffset>
            </wp:positionH>
            <wp:positionV relativeFrom="paragraph">
              <wp:posOffset>-201930</wp:posOffset>
            </wp:positionV>
            <wp:extent cx="1133475" cy="56197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Normal"/>
        <w:spacing w:lineRule="auto" w:line="240"/>
        <w:ind w:hanging="0" w:end="0"/>
        <w:rPr>
          <w:b/>
          <w:bCs/>
          <w:caps/>
        </w:rPr>
      </w:pPr>
      <w:r>
        <w:rPr>
          <w:b/>
          <w:bCs/>
          <w:caps/>
        </w:rPr>
      </w:r>
    </w:p>
    <w:p>
      <w:pPr>
        <w:pStyle w:val="25"/>
        <w:jc w:val="center"/>
        <w:rPr>
          <w:b/>
          <w:bCs/>
          <w:caps/>
          <w:color w:val="000000"/>
          <w:sz w:val="16"/>
          <w:szCs w:val="16"/>
          <w:lang w:val="en-US" w:eastAsia="en-US"/>
        </w:rPr>
      </w:pPr>
      <w:r>
        <w:rPr>
          <w:b/>
          <w:bCs/>
          <w:caps/>
          <w:color w:val="000000"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24765</wp:posOffset>
                </wp:positionH>
                <wp:positionV relativeFrom="paragraph">
                  <wp:posOffset>55880</wp:posOffset>
                </wp:positionV>
                <wp:extent cx="6447790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96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95pt,4.4pt" to="509.6pt,4.4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25"/>
        <w:ind w:hanging="0" w:end="0"/>
        <w:jc w:val="center"/>
        <w:rPr>
          <w:b/>
          <w:bCs/>
          <w:caps/>
          <w:lang w:val="en-US"/>
        </w:rPr>
      </w:pPr>
      <w:r>
        <w:rPr>
          <w:b/>
          <w:szCs w:val="28"/>
        </w:rPr>
        <w:t>Протокол</w:t>
      </w:r>
      <w:r>
        <w:rPr>
          <w:b/>
          <w:bCs/>
          <w:caps/>
        </w:rPr>
        <w:t xml:space="preserve"> №</w:t>
      </w:r>
      <w:r>
        <w:rPr>
          <w:b/>
          <w:bCs/>
          <w:caps/>
          <w:lang w:val="en-US"/>
        </w:rPr>
        <w:t>4</w:t>
      </w:r>
      <w:r>
        <w:rPr>
          <w:b/>
          <w:bCs/>
          <w:caps/>
        </w:rPr>
        <w:t>/</w:t>
      </w:r>
      <w:r>
        <w:rPr>
          <w:b/>
          <w:bCs/>
          <w:caps/>
          <w:lang w:val="en-US"/>
        </w:rPr>
        <w:t>ВП</w:t>
      </w:r>
    </w:p>
    <w:p>
      <w:pPr>
        <w:pStyle w:val="BodyText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Закупочной комиссии по </w:t>
      </w:r>
      <w:r>
        <w:rPr>
          <w:b/>
          <w:sz w:val="24"/>
        </w:rPr>
        <w:t>конкурсу в электронной форме, на право заключения договора по лоту: «ОКПД2 33.11.13.000.007 Выполнение работ по замене поверхностей нагрева парового котла ТПЕ-214/СЗХЛ энергоблока ст. №2 Нерюнгринской ГРЭС, г. Нерюнгри пос. Серебряный Бор» для нужд АО «ДГК» (Лот № 11023001-РЕМ ПРОД-2026-ДГК)</w:t>
      </w:r>
    </w:p>
    <w:p>
      <w:pPr>
        <w:pStyle w:val="Style34"/>
        <w:tabs>
          <w:tab w:val="left" w:pos="567" w:leader="none"/>
        </w:tabs>
        <w:spacing w:lineRule="auto" w:line="240"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554"/>
        <w:gridCol w:w="2549"/>
        <w:gridCol w:w="2548"/>
        <w:gridCol w:w="2555"/>
      </w:tblGrid>
      <w:tr>
        <w:trPr>
          <w:trHeight w:val="496" w:hRule="atLeast"/>
        </w:trPr>
        <w:tc>
          <w:tcPr>
            <w:tcW w:w="2554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254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48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55" w:type="dxa"/>
            <w:tcBorders/>
          </w:tcPr>
          <w:p>
            <w:pPr>
              <w:pStyle w:val="Normal"/>
              <w:spacing w:lineRule="auto" w:line="240"/>
              <w:ind w:hanging="0" w:end="0"/>
              <w:jc w:val="end"/>
              <w:rPr/>
            </w:pP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26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>ноября</w:t>
            </w:r>
            <w:r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года</w:t>
            </w:r>
          </w:p>
        </w:tc>
      </w:tr>
    </w:tbl>
    <w:p>
      <w:pPr>
        <w:pStyle w:val="Normal"/>
        <w:spacing w:lineRule="auto" w:line="240"/>
        <w:ind w:hanging="0" w:end="0"/>
        <w:rPr>
          <w:bCs/>
          <w:sz w:val="24"/>
        </w:rPr>
      </w:pPr>
      <w:r>
        <w:rPr>
          <w:b/>
          <w:sz w:val="24"/>
          <w:szCs w:val="24"/>
        </w:rPr>
        <w:t xml:space="preserve">СПОСОБ И ПРЕДМЕТ ЗАКУПКИ: </w:t>
      </w:r>
      <w:r>
        <w:rPr>
          <w:sz w:val="24"/>
          <w:szCs w:val="24"/>
        </w:rPr>
        <w:t>Конкурс в электронной форме, на право заключения договора по лоту: «ОКПД2 33.11.13.000.007 Выполнение работ по замене поверхностей нагрева парового котла ТПЕ-214/СЗХЛ энергоблока ст. №2 Нерюнгринской ГРЭС, г. Нерюнгри пос. Серебряный Бор» для нужд АО «ДГК» (Лот № 11023001-РЕМ ПРОД-2026-ДГК).</w:t>
      </w:r>
    </w:p>
    <w:p>
      <w:pPr>
        <w:pStyle w:val="25"/>
        <w:ind w:hanging="0" w:end="0"/>
        <w:rPr>
          <w:bCs/>
          <w:sz w:val="24"/>
        </w:rPr>
      </w:pPr>
      <w:r>
        <w:rPr>
          <w:bCs/>
          <w:sz w:val="24"/>
        </w:rPr>
      </w:r>
    </w:p>
    <w:p>
      <w:pPr>
        <w:pStyle w:val="Normal"/>
        <w:tabs>
          <w:tab w:val="left" w:pos="567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КОЛИЧЕСТВО ПОДАННЫХ ЗАЯВОК НА УЧАСТИЕ В ЗАКУПКЕ:</w:t>
      </w:r>
      <w:r>
        <w:rPr>
          <w:sz w:val="24"/>
          <w:szCs w:val="24"/>
        </w:rPr>
        <w:t xml:space="preserve"> 3 (три) заявки.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843"/>
        <w:gridCol w:w="7796"/>
      </w:tblGrid>
      <w:tr>
        <w:trPr>
          <w:tblHeader w:val="true"/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spacing w:lineRule="auto" w:line="240"/>
              <w:ind w:firstLine="34"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567"/>
                <w:tab w:val="left" w:pos="284" w:leader="none"/>
              </w:tabs>
              <w:snapToGrid w:val="false"/>
              <w:spacing w:lineRule="auto" w:line="240"/>
              <w:ind w:hanging="357" w:start="357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lang w:eastAsia="en-US"/>
              </w:rPr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04.09.2025 06:45</w:t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Общество с ограниченной ответственностью «РЕМЭНЕРГОРЕСУРС» (ООО «РЭР») (РФ, 620133, Свердловская область, г. Екатеринбург, ул. Восточная, д. 6, офис 13), ИНН: 6673157856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567"/>
                <w:tab w:val="left" w:pos="284" w:leader="none"/>
              </w:tabs>
              <w:snapToGrid w:val="false"/>
              <w:spacing w:lineRule="auto" w:line="240"/>
              <w:ind w:hanging="357" w:start="357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lang w:eastAsia="en-US"/>
              </w:rPr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24.10.2025 12:06</w:t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Общество с ограниченной ответственностью «РЕМЭКС Энергомонтаж» (ООО «РЭМ») (РФ, 450096, Республика Башкортостан, г. Уфа, ул. Шафиева, д. 54), ИНН: 0276954639</w:t>
            </w:r>
          </w:p>
        </w:tc>
      </w:tr>
      <w:tr>
        <w:trPr>
          <w:trHeight w:val="423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567"/>
                <w:tab w:val="left" w:pos="284" w:leader="none"/>
              </w:tabs>
              <w:snapToGrid w:val="false"/>
              <w:spacing w:lineRule="auto" w:line="240"/>
              <w:ind w:hanging="357" w:start="357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lang w:eastAsia="en-US"/>
              </w:rPr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27.10.2025 08:12</w:t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lang w:eastAsia="en-US"/>
              </w:rPr>
            </w:pPr>
            <w:r>
              <w:rPr>
                <w:rStyle w:val="Style22"/>
                <w:rFonts w:eastAsia="Calibri"/>
                <w:color w:val="000000"/>
                <w:lang w:eastAsia="en-US"/>
              </w:rPr>
              <w:t>Общество с ограниченной ответственностью «Энергетический Альянс Сибири» (ООО «ЭАС») (РФ, 649007, Республика Алтай, г. Горно-Алтайск, ул. Ленина, д. 243/2), ИНН: 0411150718</w:t>
            </w:r>
          </w:p>
        </w:tc>
      </w:tr>
    </w:tbl>
    <w:p>
      <w:pPr>
        <w:pStyle w:val="Normal"/>
        <w:tabs>
          <w:tab w:val="clear" w:pos="567"/>
          <w:tab w:val="right" w:pos="9360" w:leader="none"/>
        </w:tabs>
        <w:snapToGrid w:val="false"/>
        <w:spacing w:lineRule="auto" w:line="240"/>
        <w:ind w:hanging="0" w:end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567"/>
          <w:tab w:val="right" w:pos="9360" w:leader="none"/>
        </w:tabs>
        <w:snapToGrid w:val="false"/>
        <w:spacing w:lineRule="auto" w:line="240"/>
        <w:ind w:hanging="0" w:end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  <w:t>КОЛИЧЕСТВО ОТКЛОНЕННЫХ ЗАЯВОК:</w:t>
      </w:r>
      <w:r>
        <w:rPr>
          <w:sz w:val="24"/>
          <w:szCs w:val="24"/>
        </w:rPr>
        <w:t xml:space="preserve"> 1 (одна) заявка.</w:t>
      </w:r>
    </w:p>
    <w:p>
      <w:pPr>
        <w:pStyle w:val="Normal"/>
        <w:keepNext w:val="tru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keepNext w:val="tru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/>
      </w:pPr>
      <w:r>
        <w:rPr>
          <w:b/>
          <w:caps/>
          <w:sz w:val="24"/>
        </w:rPr>
        <w:t>ВОПРОСЫ, ВЫНОСИМЫЕ НА РАССМОТРЕНИЕ ЗАКУПОЧНОЙ КОМИССИИ:</w:t>
      </w:r>
    </w:p>
    <w:p>
      <w:pPr>
        <w:pStyle w:val="Normal"/>
        <w:keepNext w:val="tru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>
          <w:b/>
          <w:caps/>
          <w:sz w:val="24"/>
        </w:rPr>
      </w:pPr>
      <w:r>
        <w:rPr>
          <w:b/>
          <w:caps/>
          <w:sz w:val="24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№1. Об утверждении результатов процедуры переторжки</w:t>
      </w:r>
    </w:p>
    <w:p>
      <w:pPr>
        <w:pStyle w:val="Normal"/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numPr>
          <w:ilvl w:val="0"/>
          <w:numId w:val="10"/>
        </w:numPr>
        <w:tabs>
          <w:tab w:val="clear" w:pos="567"/>
          <w:tab w:val="left" w:pos="284" w:leader="none"/>
        </w:tabs>
        <w:spacing w:lineRule="auto" w:line="24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Признать процедуру переторжки состоявшейся.</w:t>
      </w:r>
    </w:p>
    <w:p>
      <w:pPr>
        <w:pStyle w:val="Normal"/>
        <w:numPr>
          <w:ilvl w:val="0"/>
          <w:numId w:val="10"/>
        </w:numPr>
        <w:tabs>
          <w:tab w:val="clear" w:pos="567"/>
          <w:tab w:val="left" w:pos="284" w:leader="none"/>
        </w:tabs>
        <w:spacing w:lineRule="auto" w:line="24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Принять условия заявок Участников после переторжки:</w:t>
      </w:r>
    </w:p>
    <w:tbl>
      <w:tblPr>
        <w:tblW w:w="104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8"/>
        <w:gridCol w:w="1501"/>
        <w:gridCol w:w="4479"/>
        <w:gridCol w:w="1816"/>
        <w:gridCol w:w="1958"/>
      </w:tblGrid>
      <w:tr>
        <w:trPr/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spacing w:before="0" w:after="0"/>
              <w:ind w:start="-81" w:end="0"/>
              <w:jc w:val="center"/>
              <w:rPr>
                <w:szCs w:val="22"/>
              </w:rPr>
            </w:pPr>
            <w:r>
              <w:rPr>
                <w:szCs w:val="22"/>
              </w:rPr>
              <w:t>№</w:t>
            </w:r>
          </w:p>
          <w:p>
            <w:pPr>
              <w:pStyle w:val="Style24"/>
              <w:spacing w:before="0" w:after="0"/>
              <w:ind w:start="-81" w:end="0"/>
              <w:jc w:val="center"/>
              <w:rPr>
                <w:szCs w:val="22"/>
              </w:rPr>
            </w:pPr>
            <w:r>
              <w:rPr>
                <w:szCs w:val="22"/>
              </w:rPr>
              <w:t>п/п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Дата и время регистрации заявки</w:t>
            </w:r>
          </w:p>
        </w:tc>
        <w:tc>
          <w:tcPr>
            <w:tcW w:w="4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заявки до переторжки, </w:t>
              <w:br/>
              <w:t>руб. без НДС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Цена заявки после переторжки, </w:t>
              <w:br/>
              <w:t>руб. без НДС</w:t>
            </w:r>
          </w:p>
        </w:tc>
      </w:tr>
      <w:tr>
        <w:trPr/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spacing w:before="0" w:after="0"/>
              <w:ind w:start="-81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27.10.2025 08:12</w:t>
            </w:r>
          </w:p>
        </w:tc>
        <w:tc>
          <w:tcPr>
            <w:tcW w:w="4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Общество с ограниченной ответственностью «Энергетический Альянс Сибири» (ООО «ЭАС») (РФ, 649007, Республика Алтай, г. Горно-Алтайск, ул. Ленина, д. 243/2),</w:t>
            </w:r>
          </w:p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 xml:space="preserve"> </w:t>
            </w: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ИНН: 0411150718</w:t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731 000 000,00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/>
              <w:ind w:firstLine="2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641 000 000,00</w:t>
            </w:r>
          </w:p>
        </w:tc>
      </w:tr>
      <w:tr>
        <w:trPr/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spacing w:before="0" w:after="0"/>
              <w:ind w:start="-81" w:end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1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24.10.2025 12:06</w:t>
            </w:r>
          </w:p>
        </w:tc>
        <w:tc>
          <w:tcPr>
            <w:tcW w:w="44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Общество с ограниченной ответственностью «РЕМЭКС Энергомонтаж» (ООО «РЭМ»)</w:t>
            </w:r>
          </w:p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 xml:space="preserve">(РФ, 450096, Республика Башкортостан, г. Уфа, ул. Шафиева, д. 54), </w:t>
            </w:r>
          </w:p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ИНН: 0276954639</w:t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3"/>
                <w:szCs w:val="23"/>
              </w:rPr>
            </w:pPr>
            <w:r>
              <w:rPr>
                <w:rStyle w:val="Style22"/>
                <w:rFonts w:eastAsia="Calibri"/>
                <w:color w:val="000000"/>
                <w:sz w:val="23"/>
                <w:szCs w:val="23"/>
              </w:rPr>
              <w:t>744 999 999,96</w:t>
            </w:r>
          </w:p>
        </w:tc>
        <w:tc>
          <w:tcPr>
            <w:tcW w:w="19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" w:end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642 000 000,00</w:t>
            </w:r>
          </w:p>
        </w:tc>
      </w:tr>
    </w:tbl>
    <w:p>
      <w:pPr>
        <w:pStyle w:val="251"/>
        <w:tabs>
          <w:tab w:val="clear" w:pos="567"/>
          <w:tab w:val="left" w:pos="284" w:leader="none"/>
        </w:tabs>
        <w:ind w:hanging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tabs>
          <w:tab w:val="clear" w:pos="567"/>
          <w:tab w:val="left" w:pos="284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567"/>
          <w:tab w:val="left" w:pos="284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ВОПРОС №2. Об итоговой ранжировке заявок</w:t>
      </w:r>
    </w:p>
    <w:p>
      <w:pPr>
        <w:pStyle w:val="Normal"/>
        <w:keepNext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numPr>
          <w:ilvl w:val="0"/>
          <w:numId w:val="11"/>
        </w:numPr>
        <w:tabs>
          <w:tab w:val="clear" w:pos="567"/>
          <w:tab w:val="left" w:pos="426" w:leader="none"/>
          <w:tab w:val="left" w:pos="851" w:leader="none"/>
        </w:tabs>
        <w:suppressAutoHyphens w:val="true"/>
        <w:spacing w:lineRule="auto" w:line="240" w:before="0" w:after="120"/>
        <w:ind w:hanging="0" w:start="0" w:end="0"/>
        <w:rPr>
          <w:sz w:val="24"/>
          <w:szCs w:val="24"/>
        </w:rPr>
      </w:pPr>
      <w:r>
        <w:rPr/>
        <w:t>Утвердить итоговый расчет баллов по результатам оценки заявок с учетом условий, полученных на переторжке: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8"/>
        <w:gridCol w:w="964"/>
        <w:gridCol w:w="960"/>
        <w:gridCol w:w="2062"/>
        <w:gridCol w:w="2167"/>
      </w:tblGrid>
      <w:tr>
        <w:trPr>
          <w:trHeight w:val="394" w:hRule="atLeast"/>
        </w:trPr>
        <w:tc>
          <w:tcPr>
            <w:tcW w:w="38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Критерий оценки (подкритерий)</w:t>
            </w:r>
          </w:p>
        </w:tc>
        <w:tc>
          <w:tcPr>
            <w:tcW w:w="19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Весовой коэффициент значимости</w:t>
            </w:r>
          </w:p>
        </w:tc>
        <w:tc>
          <w:tcPr>
            <w:tcW w:w="42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баллов, присужденных заявке по каждому критерию / подкритерию (без учета весового коэффициента значимости) </w:t>
            </w:r>
          </w:p>
        </w:tc>
      </w:tr>
      <w:tr>
        <w:trPr>
          <w:trHeight w:val="695" w:hRule="atLeast"/>
        </w:trPr>
        <w:tc>
          <w:tcPr>
            <w:tcW w:w="38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критерия 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597" w:leader="none"/>
                <w:tab w:val="left" w:pos="3544" w:leader="none"/>
              </w:tabs>
              <w:suppressAutoHyphens w:val="true"/>
              <w:spacing w:lineRule="auto" w:line="240"/>
              <w:ind w:hanging="0" w:start="-57" w:end="-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подкритерия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567" w:leader="none"/>
                <w:tab w:val="left" w:pos="786" w:leader="none"/>
                <w:tab w:val="left" w:pos="1134" w:leader="none"/>
              </w:tabs>
              <w:snapToGrid w:val="false"/>
              <w:spacing w:lineRule="auto" w:line="240"/>
              <w:ind w:hanging="786" w:start="786" w:end="0"/>
              <w:jc w:val="center"/>
              <w:rPr>
                <w:b/>
                <w:sz w:val="24"/>
                <w:szCs w:val="24"/>
              </w:rPr>
            </w:pPr>
            <w:r>
              <w:rPr>
                <w:rStyle w:val="Style22"/>
                <w:rFonts w:eastAsia="Calibri"/>
                <w:b/>
                <w:color w:val="000000"/>
                <w:sz w:val="24"/>
                <w:szCs w:val="24"/>
                <w:lang w:eastAsia="en-US"/>
              </w:rPr>
              <w:t>ООО «ЭАС»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left" w:pos="567" w:leader="none"/>
                <w:tab w:val="left" w:pos="786" w:leader="none"/>
                <w:tab w:val="left" w:pos="1134" w:leader="none"/>
              </w:tabs>
              <w:snapToGrid w:val="false"/>
              <w:spacing w:lineRule="auto" w:line="240"/>
              <w:ind w:hanging="897" w:start="786" w:end="0"/>
              <w:jc w:val="center"/>
              <w:rPr>
                <w:b/>
                <w:sz w:val="24"/>
                <w:szCs w:val="24"/>
              </w:rPr>
            </w:pPr>
            <w:r>
              <w:rPr>
                <w:rStyle w:val="Style22"/>
                <w:rFonts w:eastAsia="Calibri"/>
                <w:b/>
                <w:color w:val="000000"/>
                <w:sz w:val="24"/>
                <w:szCs w:val="24"/>
                <w:lang w:eastAsia="en-US"/>
              </w:rPr>
              <w:t>ООО «РЭМ»</w:t>
            </w:r>
          </w:p>
        </w:tc>
      </w:tr>
      <w:tr>
        <w:trPr>
          <w:trHeight w:val="407" w:hRule="atLeast"/>
        </w:trPr>
        <w:tc>
          <w:tcPr>
            <w:tcW w:w="3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33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Критерий оценки 1: </w:t>
            </w:r>
            <w:r>
              <w:rPr>
                <w:b/>
                <w:i/>
                <w:sz w:val="22"/>
                <w:szCs w:val="22"/>
              </w:rPr>
              <w:t>Цена договора (заявки)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3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65%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4,9922</w:t>
            </w:r>
          </w:p>
        </w:tc>
      </w:tr>
      <w:tr>
        <w:trPr>
          <w:trHeight w:val="680" w:hRule="atLeast"/>
        </w:trPr>
        <w:tc>
          <w:tcPr>
            <w:tcW w:w="3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33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Критерий оценки 2: </w:t>
            </w:r>
            <w:r>
              <w:rPr>
                <w:b/>
                <w:i/>
                <w:sz w:val="22"/>
                <w:szCs w:val="22"/>
              </w:rPr>
              <w:t>Квалификация (предпочтительность) участника (опыт)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5,0000</w:t>
            </w:r>
          </w:p>
        </w:tc>
      </w:tr>
      <w:tr>
        <w:trPr>
          <w:trHeight w:val="680" w:hRule="atLeast"/>
        </w:trPr>
        <w:tc>
          <w:tcPr>
            <w:tcW w:w="3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33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Критерий оценки 3: </w:t>
            </w:r>
            <w:r>
              <w:rPr>
                <w:b/>
                <w:i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5%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-//-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3,0000</w:t>
            </w:r>
          </w:p>
        </w:tc>
      </w:tr>
      <w:tr>
        <w:trPr>
          <w:trHeight w:val="403" w:hRule="atLeast"/>
        </w:trPr>
        <w:tc>
          <w:tcPr>
            <w:tcW w:w="57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Итоговый балл заявки (с учетом весовых коэффициентов значимости)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4,9000</w:t>
            </w:r>
          </w:p>
        </w:tc>
        <w:tc>
          <w:tcPr>
            <w:tcW w:w="2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tabs>
                <w:tab w:val="clear" w:pos="567"/>
                <w:tab w:val="left" w:pos="709" w:leader="none"/>
                <w:tab w:val="left" w:pos="3544" w:leader="none"/>
              </w:tabs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4,8949</w:t>
            </w:r>
          </w:p>
        </w:tc>
      </w:tr>
    </w:tbl>
    <w:p>
      <w:pPr>
        <w:pStyle w:val="Normal"/>
        <w:tabs>
          <w:tab w:val="clear" w:pos="567"/>
          <w:tab w:val="left" w:pos="426" w:leader="none"/>
        </w:tabs>
        <w:spacing w:lineRule="auto" w:line="240"/>
        <w:ind w:hanging="0" w:end="0"/>
        <w:rPr>
          <w:spacing w:val="4"/>
          <w:sz w:val="24"/>
          <w:szCs w:val="24"/>
          <w:u w:val="single"/>
        </w:rPr>
      </w:pPr>
      <w:r>
        <w:rPr>
          <w:spacing w:val="4"/>
          <w:sz w:val="24"/>
          <w:szCs w:val="24"/>
          <w:u w:val="single"/>
        </w:rPr>
      </w:r>
    </w:p>
    <w:p>
      <w:pPr>
        <w:pStyle w:val="Normal"/>
        <w:widowControl w:val="false"/>
        <w:numPr>
          <w:ilvl w:val="0"/>
          <w:numId w:val="6"/>
        </w:numPr>
        <w:tabs>
          <w:tab w:val="clear" w:pos="567"/>
          <w:tab w:val="left" w:pos="426" w:leader="none"/>
        </w:tabs>
        <w:suppressAutoHyphens w:val="true"/>
        <w:spacing w:lineRule="auto" w:line="240" w:before="0" w:after="12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Утвердить итоговую ранжировку заявок: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276"/>
        <w:gridCol w:w="3119"/>
        <w:gridCol w:w="1701"/>
        <w:gridCol w:w="3118"/>
      </w:tblGrid>
      <w:tr>
        <w:trPr>
          <w:trHeight w:val="75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/>
            </w:pPr>
            <w:r>
              <w:rPr>
                <w:sz w:val="22"/>
                <w:szCs w:val="22"/>
              </w:rPr>
              <w:t xml:space="preserve">Место в </w:t>
            </w:r>
            <w:r>
              <w:rPr>
                <w:sz w:val="22"/>
                <w:szCs w:val="22"/>
                <w:lang w:val="en-US"/>
              </w:rPr>
              <w:t>итоговой</w:t>
            </w:r>
            <w:r>
              <w:rPr>
                <w:sz w:val="22"/>
                <w:szCs w:val="22"/>
              </w:rPr>
              <w:t xml:space="preserve"> ранжировке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Итоговая цена заявки, руб. без НДС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Применение законодательства о национальном режиме в соответствии с ПП 1875 в части преимущества в отношении товара российского происхождения / работы, услуги соответственно выполняемой, оказываемой российским лицом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место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27.10.2025 08:12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Общество с ограниченной ответственностью «Энергетический Альянс Сибири» (ООО «ЭАС») (РФ, 649007, Республика Алтай, г. Горно-Алтайск, ул. Ленина, д. 243/2),</w:t>
            </w:r>
          </w:p>
          <w:p>
            <w:pPr>
              <w:pStyle w:val="16"/>
              <w:widowControl w:val="false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ИНН: 0411150718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641 000 000,00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</w:tr>
      <w:tr>
        <w:trPr>
          <w:trHeight w:val="21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место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24.10.2025 12:06</w:t>
            </w:r>
          </w:p>
        </w:tc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Общество с ограниченной ответственностью «РЕМЭКС Энергомонтаж» (ООО «РЭМ»)</w:t>
            </w:r>
          </w:p>
          <w:p>
            <w:pPr>
              <w:pStyle w:val="16"/>
              <w:widowControl w:val="false"/>
              <w:ind w:hanging="0" w:end="0"/>
              <w:jc w:val="center"/>
              <w:rPr/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 xml:space="preserve">(РФ, 450096, Республика Башкортостан, г. Уфа, ул. Шафиева, д. 54), </w:t>
            </w:r>
          </w:p>
          <w:p>
            <w:pPr>
              <w:pStyle w:val="16"/>
              <w:widowControl w:val="false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rStyle w:val="Style22"/>
                <w:rFonts w:eastAsia="Calibri"/>
                <w:color w:val="000000"/>
                <w:sz w:val="22"/>
                <w:szCs w:val="22"/>
              </w:rPr>
              <w:t>ИНН: 0276954639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642 000 000,00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Нет</w:t>
            </w:r>
          </w:p>
        </w:tc>
      </w:tr>
    </w:tbl>
    <w:p>
      <w:pPr>
        <w:pStyle w:val="Normal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ВОПРОС №3. О выборе победителя закупки</w:t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16"/>
        <w:widowControl w:val="false"/>
        <w:numPr>
          <w:ilvl w:val="0"/>
          <w:numId w:val="4"/>
        </w:numPr>
        <w:tabs>
          <w:tab w:val="clear" w:pos="567"/>
          <w:tab w:val="left" w:pos="284" w:leader="none"/>
        </w:tabs>
        <w:ind w:hanging="0" w:start="0" w:end="0"/>
        <w:jc w:val="both"/>
        <w:rPr/>
      </w:pPr>
      <w:r>
        <w:rPr/>
        <w:t xml:space="preserve">Признать Победителем закупки Участника, занявшего 1 (первое) место в ранжировке по степени предпочтительности для Заказчика: </w:t>
      </w:r>
      <w:r>
        <w:rPr>
          <w:rStyle w:val="Style22"/>
          <w:rFonts w:eastAsia="Calibri"/>
          <w:color w:val="000000"/>
        </w:rPr>
        <w:t>Общество с ограниченной ответственностью «Энергетический Альянс Сибири» (ООО «ЭАС») (РФ, 649007, Республика Алтай, г. Горно-Алтайск, ул. Ленина, д. 243/2, ИНН: 0411150718</w:t>
      </w:r>
      <w:r>
        <w:rPr>
          <w:lang w:bidi="ru-RU"/>
        </w:rPr>
        <w:t>)</w:t>
      </w:r>
      <w:r>
        <w:rPr>
          <w:b/>
          <w:lang w:bidi="ru-RU"/>
        </w:rPr>
        <w:t xml:space="preserve"> </w:t>
      </w:r>
      <w:r>
        <w:rPr/>
        <w:t>с ценой заявки не более 641 000 000,00 руб. без учета НДС.</w:t>
      </w:r>
    </w:p>
    <w:p>
      <w:pPr>
        <w:pStyle w:val="Normal"/>
        <w:numPr>
          <w:ilvl w:val="0"/>
          <w:numId w:val="4"/>
        </w:numPr>
        <w:tabs>
          <w:tab w:val="clear" w:pos="567"/>
          <w:tab w:val="left" w:pos="284" w:leader="none"/>
          <w:tab w:val="left" w:pos="426" w:leader="none"/>
        </w:tabs>
        <w:suppressAutoHyphens w:val="true"/>
        <w:spacing w:lineRule="auto" w:line="24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Инициатору договора обеспечить подписание договора с Победителем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 </w:t>
      </w:r>
    </w:p>
    <w:p>
      <w:pPr>
        <w:pStyle w:val="Normal"/>
        <w:numPr>
          <w:ilvl w:val="0"/>
          <w:numId w:val="4"/>
        </w:numPr>
        <w:tabs>
          <w:tab w:val="clear" w:pos="567"/>
          <w:tab w:val="left" w:pos="284" w:leader="none"/>
          <w:tab w:val="left" w:pos="426" w:leader="none"/>
        </w:tabs>
        <w:suppressAutoHyphens w:val="true"/>
        <w:spacing w:lineRule="auto" w:line="240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Победителю закупки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 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5.2 Документации о закупке.</w:t>
      </w:r>
    </w:p>
    <w:p>
      <w:pPr>
        <w:pStyle w:val="Normal"/>
        <w:tabs>
          <w:tab w:val="clear" w:pos="567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  <w:highlight w:val="yellow"/>
        </w:rPr>
      </w:pPr>
      <w:r>
        <w:rPr>
          <w:b/>
          <w:spacing w:val="4"/>
          <w:sz w:val="24"/>
          <w:szCs w:val="24"/>
          <w:highlight w:val="yellow"/>
        </w:rPr>
      </w:r>
    </w:p>
    <w:p>
      <w:pPr>
        <w:pStyle w:val="Normal"/>
        <w:spacing w:lineRule="auto" w:line="240"/>
        <w:ind w:hanging="0" w:end="0"/>
        <w:rPr>
          <w:b/>
          <w:spacing w:val="4"/>
          <w:sz w:val="24"/>
          <w:szCs w:val="24"/>
          <w:highlight w:val="yellow"/>
        </w:rPr>
      </w:pPr>
      <w:r>
        <w:rPr>
          <w:b/>
          <w:spacing w:val="4"/>
          <w:sz w:val="24"/>
          <w:szCs w:val="24"/>
          <w:highlight w:val="yellow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4"/>
          <w:szCs w:val="24"/>
        </w:rPr>
        <w:t>Секретарь Закупочной комиссии</w:t>
      </w:r>
      <w:r>
        <w:rPr>
          <w:bCs/>
          <w:sz w:val="24"/>
          <w:szCs w:val="24"/>
        </w:rPr>
        <w:t xml:space="preserve">                                                                                         Сикан А.К.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sectPr>
      <w:headerReference w:type="default" r:id="rId3"/>
      <w:footerReference w:type="default" r:id="rId4"/>
      <w:type w:val="nextPage"/>
      <w:pgSz w:w="11906" w:h="16838"/>
      <w:pgMar w:left="993" w:right="707" w:gutter="0" w:header="284" w:top="709" w:footer="315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567"/>
        <w:tab w:val="left" w:pos="7200" w:leader="none"/>
        <w:tab w:val="right" w:pos="10080" w:leader="none"/>
      </w:tabs>
      <w:spacing w:lineRule="auto" w:line="240"/>
      <w:ind w:hanging="0" w:end="0"/>
      <w:rPr/>
    </w:pPr>
    <w:r>
      <w:rPr>
        <w:bCs/>
        <w:sz w:val="20"/>
      </w:rPr>
      <w:tab/>
      <w:t xml:space="preserve">                                         </w:t>
    </w:r>
    <w:r>
      <w:rPr>
        <w:bCs/>
        <w:i/>
        <w:sz w:val="16"/>
        <w:szCs w:val="16"/>
      </w:rPr>
      <w:t xml:space="preserve">стр. </w:t>
    </w:r>
    <w:r>
      <w:rPr>
        <w:bCs/>
        <w:i/>
        <w:sz w:val="16"/>
        <w:szCs w:val="16"/>
      </w:rPr>
      <w:fldChar w:fldCharType="begin"/>
    </w:r>
    <w:r>
      <w:rPr>
        <w:sz w:val="16"/>
        <w:i/>
        <w:szCs w:val="16"/>
        <w:bCs/>
      </w:rPr>
      <w:instrText xml:space="preserve"> PAGE </w:instrText>
    </w:r>
    <w:r>
      <w:rPr>
        <w:sz w:val="16"/>
        <w:i/>
        <w:szCs w:val="16"/>
        <w:bCs/>
      </w:rPr>
      <w:fldChar w:fldCharType="separate"/>
    </w:r>
    <w:r>
      <w:rPr>
        <w:sz w:val="16"/>
        <w:i/>
        <w:szCs w:val="16"/>
        <w:bCs/>
      </w:rPr>
      <w:t>3</w:t>
    </w:r>
    <w:r>
      <w:rPr>
        <w:sz w:val="16"/>
        <w:i/>
        <w:szCs w:val="16"/>
        <w:bCs/>
      </w:rPr>
      <w:fldChar w:fldCharType="end"/>
    </w:r>
    <w:r>
      <w:rPr>
        <w:bCs/>
        <w:i/>
        <w:sz w:val="16"/>
        <w:szCs w:val="16"/>
      </w:rPr>
      <w:t xml:space="preserve"> из </w:t>
    </w:r>
    <w:r>
      <w:rPr>
        <w:bCs/>
        <w:i/>
        <w:sz w:val="16"/>
        <w:szCs w:val="16"/>
      </w:rPr>
      <w:fldChar w:fldCharType="begin"/>
    </w:r>
    <w:r>
      <w:rPr>
        <w:sz w:val="16"/>
        <w:i/>
        <w:szCs w:val="16"/>
        <w:bCs/>
      </w:rPr>
      <w:instrText xml:space="preserve"> NUMPAGES \* ARABIC </w:instrText>
    </w:r>
    <w:r>
      <w:rPr>
        <w:sz w:val="16"/>
        <w:i/>
        <w:szCs w:val="16"/>
        <w:bCs/>
      </w:rPr>
      <w:fldChar w:fldCharType="separate"/>
    </w:r>
    <w:r>
      <w:rPr>
        <w:sz w:val="16"/>
        <w:i/>
        <w:szCs w:val="16"/>
        <w:bCs/>
      </w:rPr>
      <w:t>3</w:t>
    </w:r>
    <w:r>
      <w:rPr>
        <w:sz w:val="16"/>
        <w:i/>
        <w:szCs w:val="16"/>
        <w:bCs/>
      </w:rPr>
      <w:fldChar w:fldCharType="end"/>
    </w:r>
    <w:r>
      <w:rPr>
        <w:bCs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1211" w:hanging="360"/>
      </w:pPr>
      <w:rPr>
        <w:sz w:val="24"/>
        <w:i w:val="false"/>
        <w:b w:val="false"/>
        <w:szCs w:val="24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1060" w:hanging="7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1287" w:hanging="36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842" w:hanging="7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 w:val="false"/>
      <w:i w:val="false"/>
    </w:rPr>
  </w:style>
  <w:style w:type="character" w:styleId="WW8Num3z0">
    <w:name w:val="WW8Num3z0"/>
    <w:qFormat/>
    <w:rPr>
      <w:b w:val="false"/>
      <w:sz w:val="24"/>
      <w:szCs w:val="24"/>
    </w:rPr>
  </w:style>
  <w:style w:type="character" w:styleId="WW8Num4z0">
    <w:name w:val="WW8Num4z0"/>
    <w:qFormat/>
    <w:rPr>
      <w:sz w:val="24"/>
      <w:szCs w:val="24"/>
    </w:rPr>
  </w:style>
  <w:style w:type="character" w:styleId="WW8Num5z0">
    <w:name w:val="WW8Num5z0"/>
    <w:qFormat/>
    <w:rPr>
      <w:b w:val="false"/>
      <w:i w:val="false"/>
      <w:sz w:val="24"/>
    </w:rPr>
  </w:style>
  <w:style w:type="character" w:styleId="WW8Num5z1">
    <w:name w:val="WW8Num5z1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b w:val="false"/>
      <w:sz w:val="24"/>
      <w:szCs w:val="24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>
      <w:b w:val="false"/>
      <w:i w:val="false"/>
      <w:sz w:val="24"/>
      <w:szCs w:val="24"/>
    </w:rPr>
  </w:style>
  <w:style w:type="character" w:styleId="WW8Num12z0">
    <w:name w:val="WW8Num12z0"/>
    <w:qFormat/>
    <w:rPr/>
  </w:style>
  <w:style w:type="character" w:styleId="WW8Num12z3">
    <w:name w:val="WW8Num12z3"/>
    <w:qFormat/>
    <w:rPr>
      <w:i/>
    </w:rPr>
  </w:style>
  <w:style w:type="character" w:styleId="WW8Num13z0">
    <w:name w:val="WW8Num13z0"/>
    <w:qFormat/>
    <w:rPr>
      <w:b w:val="false"/>
      <w:i w:val="false"/>
      <w:sz w:val="24"/>
      <w:szCs w:val="24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7z3">
    <w:name w:val="WW8Num17z3"/>
    <w:qFormat/>
    <w:rPr>
      <w:b w:val="false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/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4">
    <w:name w:val="WW8Num18z4"/>
    <w:qFormat/>
    <w:rPr>
      <w:rFonts w:ascii="Courier New" w:hAnsi="Courier New" w:cs="Courier New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b w:val="false"/>
      <w:i w:val="false"/>
      <w:sz w:val="24"/>
    </w:rPr>
  </w:style>
  <w:style w:type="character" w:styleId="WW8Num21z0">
    <w:name w:val="WW8Num21z0"/>
    <w:qFormat/>
    <w:rPr>
      <w:b w:val="false"/>
      <w:sz w:val="24"/>
      <w:szCs w:val="24"/>
    </w:rPr>
  </w:style>
  <w:style w:type="character" w:styleId="WW8Num22z0">
    <w:name w:val="WW8Num22z0"/>
    <w:qFormat/>
    <w:rPr>
      <w:rFonts w:ascii="Calibri" w:hAnsi="Calibri" w:cs="Calibri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4z2">
    <w:name w:val="WW8Num24z2"/>
    <w:qFormat/>
    <w:rPr>
      <w:b w:val="false"/>
      <w:i w:val="false"/>
    </w:rPr>
  </w:style>
  <w:style w:type="character" w:styleId="WW8Num25z0">
    <w:name w:val="WW8Num25z0"/>
    <w:qFormat/>
    <w:rPr>
      <w:rFonts w:ascii="Times New Roman" w:hAnsi="Times New Roman" w:eastAsia="Times New Roman" w:cs="Times New Roman"/>
      <w:b w:val="false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b w:val="false"/>
    </w:rPr>
  </w:style>
  <w:style w:type="character" w:styleId="WW8Num29z0">
    <w:name w:val="WW8Num29z0"/>
    <w:qFormat/>
    <w:rPr>
      <w:b w:val="false"/>
    </w:rPr>
  </w:style>
  <w:style w:type="character" w:styleId="WW8Num32z0">
    <w:name w:val="WW8Num32z0"/>
    <w:qFormat/>
    <w:rPr>
      <w:b w:val="false"/>
      <w:i w:val="false"/>
      <w:sz w:val="24"/>
    </w:rPr>
  </w:style>
  <w:style w:type="character" w:styleId="WW8Num32z1">
    <w:name w:val="WW8Num32z1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b w:val="false"/>
      <w:i w:val="false"/>
      <w:sz w:val="24"/>
    </w:rPr>
  </w:style>
  <w:style w:type="character" w:styleId="WW8Num35z1">
    <w:name w:val="WW8Num35z1"/>
    <w:qFormat/>
    <w:rPr/>
  </w:style>
  <w:style w:type="character" w:styleId="WW8Num36z0">
    <w:name w:val="WW8Num36z0"/>
    <w:qFormat/>
    <w:rPr>
      <w:b w:val="false"/>
    </w:rPr>
  </w:style>
  <w:style w:type="character" w:styleId="WW8Num37z0">
    <w:name w:val="WW8Num37z0"/>
    <w:qFormat/>
    <w:rPr/>
  </w:style>
  <w:style w:type="character" w:styleId="WW8Num37z3">
    <w:name w:val="WW8Num37z3"/>
    <w:qFormat/>
    <w:rPr>
      <w:b w:val="false"/>
    </w:rPr>
  </w:style>
  <w:style w:type="character" w:styleId="WW8Num38z0">
    <w:name w:val="WW8Num38z0"/>
    <w:qFormat/>
    <w:rPr>
      <w:rFonts w:ascii="Symbol" w:hAnsi="Symbol" w:cs="Symbol"/>
      <w:b w:val="false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b w:val="false"/>
      <w:sz w:val="24"/>
      <w:szCs w:val="24"/>
    </w:rPr>
  </w:style>
  <w:style w:type="character" w:styleId="WW8Num41z0">
    <w:name w:val="WW8Num41z0"/>
    <w:qFormat/>
    <w:rPr/>
  </w:style>
  <w:style w:type="character" w:styleId="WW8Num42z0">
    <w:name w:val="WW8Num42z0"/>
    <w:qFormat/>
    <w:rPr>
      <w:b w:val="false"/>
      <w:i w:val="false"/>
      <w:sz w:val="24"/>
    </w:rPr>
  </w:style>
  <w:style w:type="character" w:styleId="WW8Num43z0">
    <w:name w:val="WW8Num43z0"/>
    <w:qFormat/>
    <w:rPr/>
  </w:style>
  <w:style w:type="character" w:styleId="WW8Num43z3">
    <w:name w:val="WW8Num43z3"/>
    <w:qFormat/>
    <w:rPr>
      <w:b w:val="false"/>
      <w:i w:val="false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Style8">
    <w:name w:val="Знак примечания"/>
    <w:qFormat/>
    <w:rPr>
      <w:sz w:val="16"/>
      <w:szCs w:val="16"/>
    </w:rPr>
  </w:style>
  <w:style w:type="character" w:styleId="2">
    <w:name w:val="Цитата 2 Знак"/>
    <w:qFormat/>
    <w:rPr>
      <w:i/>
      <w:iCs/>
      <w:color w:val="000000"/>
      <w:sz w:val="28"/>
    </w:rPr>
  </w:style>
  <w:style w:type="character" w:styleId="Style9">
    <w:name w:val="Основной текст Знак"/>
    <w:qFormat/>
    <w:rPr>
      <w:sz w:val="28"/>
      <w:szCs w:val="24"/>
    </w:rPr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Style10">
    <w:name w:val="Текст сноски Знак"/>
    <w:qFormat/>
    <w:rPr/>
  </w:style>
  <w:style w:type="character" w:styleId="21">
    <w:name w:val="Основной текст с отступом 2 Знак"/>
    <w:qFormat/>
    <w:rPr>
      <w:sz w:val="28"/>
      <w:szCs w:val="24"/>
    </w:rPr>
  </w:style>
  <w:style w:type="character" w:styleId="Style11">
    <w:name w:val="Нижний колонтитул Знак"/>
    <w:qFormat/>
    <w:rPr/>
  </w:style>
  <w:style w:type="character" w:styleId="Style12">
    <w:name w:val="Основной текст с отступом Знак"/>
    <w:qFormat/>
    <w:rPr>
      <w:i/>
      <w:sz w:val="28"/>
    </w:rPr>
  </w:style>
  <w:style w:type="character" w:styleId="Style13">
    <w:name w:val="Подподпункт Знак"/>
    <w:qFormat/>
    <w:rPr>
      <w:sz w:val="28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Style14">
    <w:name w:val="Верхний колонтитул Знак"/>
    <w:qFormat/>
    <w:rPr>
      <w:i/>
    </w:rPr>
  </w:style>
  <w:style w:type="character" w:styleId="Style15">
    <w:name w:val="Схема документа Знак"/>
    <w:qFormat/>
    <w:rPr>
      <w:rFonts w:ascii="Tahoma" w:hAnsi="Tahoma" w:cs="Tahoma"/>
      <w:shd w:fill="000080" w:val="clear"/>
    </w:rPr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7">
    <w:name w:val="Текст примечания Знак"/>
    <w:qFormat/>
    <w:rPr/>
  </w:style>
  <w:style w:type="character" w:styleId="Style18">
    <w:name w:val="Тема примечания Знак"/>
    <w:qFormat/>
    <w:rPr>
      <w:b/>
      <w:bCs/>
    </w:rPr>
  </w:style>
  <w:style w:type="character" w:styleId="22">
    <w:name w:val="Основной текст 2 Знак"/>
    <w:qFormat/>
    <w:rPr>
      <w:kern w:val="2"/>
      <w:sz w:val="28"/>
    </w:rPr>
  </w:style>
  <w:style w:type="character" w:styleId="31">
    <w:name w:val="Основной текст с отступом 3 Знак"/>
    <w:qFormat/>
    <w:rPr>
      <w:i/>
      <w:sz w:val="26"/>
      <w:szCs w:val="26"/>
    </w:rPr>
  </w:style>
  <w:style w:type="character" w:styleId="Style19">
    <w:name w:val="Название Знак"/>
    <w:qFormat/>
    <w:rPr>
      <w:b/>
      <w:smallCaps/>
      <w:sz w:val="32"/>
    </w:rPr>
  </w:style>
  <w:style w:type="character" w:styleId="Style20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1">
    <w:name w:val="Заголовок Знак1"/>
    <w:qFormat/>
    <w:rPr>
      <w:b/>
      <w:smallCaps/>
      <w:sz w:val="32"/>
    </w:rPr>
  </w:style>
  <w:style w:type="character" w:styleId="Style21">
    <w:name w:val="Абзац списка Знак"/>
    <w:qFormat/>
    <w:rPr>
      <w:sz w:val="28"/>
    </w:rPr>
  </w:style>
  <w:style w:type="character" w:styleId="12">
    <w:name w:val="Стиль1 Знак"/>
    <w:qFormat/>
    <w:rPr>
      <w:sz w:val="24"/>
      <w:szCs w:val="24"/>
    </w:rPr>
  </w:style>
  <w:style w:type="character" w:styleId="Style22">
    <w:name w:val="Замещающий текст"/>
    <w:qFormat/>
    <w:rPr>
      <w:color w:val="808080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right" w:pos="10195" w:leader="dot"/>
      </w:tabs>
      <w:spacing w:before="120" w:after="0"/>
      <w:ind w:hanging="0" w:start="-142" w:end="0"/>
      <w:jc w:val="start"/>
    </w:pPr>
    <w:rPr>
      <w:bCs/>
      <w:i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8">
    <w:name w:val="Главы"/>
    <w:basedOn w:val="Style27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9">
    <w:name w:val="Служебный"/>
    <w:basedOn w:val="Style28"/>
    <w:qFormat/>
    <w:pPr>
      <w:numPr>
        <w:ilvl w:val="0"/>
        <w:numId w:val="0"/>
      </w:numPr>
      <w:ind w:hanging="0" w:start="0" w:end="0"/>
    </w:pPr>
    <w:rPr/>
  </w:style>
  <w:style w:type="paragraph" w:styleId="Style30">
    <w:name w:val="маркированный"/>
    <w:basedOn w:val="Normal"/>
    <w:qFormat/>
    <w:pPr>
      <w:ind w:hanging="0" w:start="0" w:end="0"/>
    </w:pPr>
    <w:rPr/>
  </w:style>
  <w:style w:type="paragraph" w:styleId="Style31">
    <w:name w:val="Пункт"/>
    <w:basedOn w:val="Normal"/>
    <w:qFormat/>
    <w:pPr>
      <w:numPr>
        <w:ilvl w:val="0"/>
        <w:numId w:val="8"/>
      </w:numPr>
    </w:pPr>
    <w:rPr/>
  </w:style>
  <w:style w:type="paragraph" w:styleId="Style32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1"/>
    <w:qFormat/>
    <w:pPr>
      <w:keepNext w:val="true"/>
      <w:outlineLvl w:val="2"/>
    </w:pPr>
    <w:rPr>
      <w:b/>
    </w:rPr>
  </w:style>
  <w:style w:type="paragraph" w:styleId="Style33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3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6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3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9">
    <w:name w:val="Текст примечания"/>
    <w:basedOn w:val="Normal"/>
    <w:qFormat/>
    <w:pPr/>
    <w:rPr>
      <w:sz w:val="20"/>
    </w:rPr>
  </w:style>
  <w:style w:type="paragraph" w:styleId="Style40">
    <w:name w:val="Тема примечания"/>
    <w:basedOn w:val="Style39"/>
    <w:next w:val="Style39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3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4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5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3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1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Yu Gothic UI"/>
      <w:szCs w:val="28"/>
    </w:rPr>
  </w:style>
  <w:style w:type="paragraph" w:styleId="Style4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3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4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4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5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46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7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eastAsia="Times New Roman" w:cs="Times New Roman"/>
      <w:bCs/>
      <w:color w:val="365F91"/>
      <w:kern w:val="0"/>
      <w:sz w:val="28"/>
      <w:szCs w:val="28"/>
    </w:rPr>
  </w:style>
  <w:style w:type="paragraph" w:styleId="26">
    <w:name w:val="Цитата 2"/>
    <w:basedOn w:val="Normal"/>
    <w:next w:val="Normal"/>
    <w:qFormat/>
    <w:pPr/>
    <w:rPr>
      <w:i/>
      <w:iCs/>
      <w:color w:val="000000"/>
    </w:rPr>
  </w:style>
  <w:style w:type="paragraph" w:styleId="15">
    <w:name w:val="Текст 1"/>
    <w:basedOn w:val="Heading2"/>
    <w:qFormat/>
    <w:pPr>
      <w:keepNext w:val="false"/>
      <w:widowControl w:val="false"/>
      <w:numPr>
        <w:ilvl w:val="0"/>
        <w:numId w:val="5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Style48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Style49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Style50">
    <w:name w:val="Без интервала"/>
    <w:qFormat/>
    <w:pPr>
      <w:widowControl/>
      <w:bidi w:val="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6">
    <w:name w:val="Стиль1"/>
    <w:basedOn w:val="Style34"/>
    <w:qFormat/>
    <w:pPr>
      <w:tabs>
        <w:tab w:val="left" w:pos="567" w:leader="none"/>
      </w:tabs>
      <w:suppressAutoHyphens w:val="true"/>
      <w:autoSpaceDE w:val="true"/>
      <w:spacing w:lineRule="auto" w:line="240" w:before="0" w:after="0"/>
      <w:ind w:firstLine="567" w:start="0" w:end="0"/>
      <w:jc w:val="start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2024-04-02T19:17:00Z</dcterms:created>
  <dc:creator>С.Б.Дашков</dc:creator>
  <dc:description/>
  <cp:keywords/>
  <dc:language>en-US</dc:language>
  <cp:lastModifiedBy>Сикан Анна Константиновна</cp:lastModifiedBy>
  <cp:lastPrinted>2021-05-20T11:04:00Z</cp:lastPrinted>
  <dcterms:modified xsi:type="dcterms:W3CDTF">2025-11-28T00:07:00Z</dcterms:modified>
  <cp:revision>254</cp:revision>
  <dc:subject/>
  <dc:title>Типовая закупочная документация</dc:title>
</cp:coreProperties>
</file>