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Протокол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заседания Центральной закупочной комиссии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6450" w:leader="none"/>
        </w:tabs>
        <w:spacing w:lineRule="auto" w:line="240" w:before="0" w:after="0"/>
        <w:outlineLvl w:val="0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961"/>
        <w:gridCol w:w="4961"/>
      </w:tblGrid>
      <w:tr>
        <w:trPr/>
        <w:tc>
          <w:tcPr>
            <w:tcW w:w="49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Arial;Times New Roman" w:hAnsi="Arial;Times New Roman" w:cs="Arial;Times New Roman"/>
                <w:kern w:val="2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№</w:t>
            </w:r>
            <w:r>
              <w:rPr>
                <w:rFonts w:cs="Arial;Times New Roman" w:ascii="Arial;Times New Roman" w:hAnsi="Arial;Times New Roman"/>
                <w:bCs/>
                <w:kern w:val="2"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2025-02-МСП-В</w:t>
            </w:r>
          </w:p>
        </w:tc>
        <w:tc>
          <w:tcPr>
            <w:tcW w:w="49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end"/>
              <w:outlineLvl w:val="0"/>
              <w:rPr>
                <w:rFonts w:ascii="Arial;Times New Roman" w:hAnsi="Arial;Times New Roman" w:cs="Arial;Times New Roman"/>
                <w:kern w:val="2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«28»</w:t>
            </w:r>
            <w:r>
              <w:rPr>
                <w:rFonts w:cs="Arial;Times New Roman" w:ascii="Arial;Times New Roman" w:hAnsi="Arial;Times New Roman"/>
                <w:bCs/>
                <w:kern w:val="2"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февраля</w:t>
            </w:r>
            <w:r>
              <w:rPr>
                <w:rFonts w:cs="Arial;Times New Roman" w:ascii="Arial;Times New Roman" w:hAnsi="Arial;Times New Roman"/>
                <w:bCs/>
                <w:kern w:val="2"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2025</w:t>
            </w: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г.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end"/>
              <w:outlineLvl w:val="0"/>
              <w:rPr>
                <w:rFonts w:ascii="Arial;Times New Roman" w:hAnsi="Arial;Times New Roman" w:cs="Arial;Times New Roman"/>
                <w:kern w:val="2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Наименование комиссии: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 xml:space="preserve">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Центральная </w:t>
      </w:r>
      <w:r>
        <w:rPr>
          <w:rFonts w:cs="Arial;Times New Roman" w:ascii="Arial;Times New Roman" w:hAnsi="Arial;Times New Roman"/>
          <w:sz w:val="20"/>
          <w:szCs w:val="20"/>
        </w:rPr>
        <w:t>закупочная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комиссия ООО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«ТатАИСЭнерго»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8" w:end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Место заседания комиссии: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 xml:space="preserve"> 420107, Республика Татарстан,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Казань, ул.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Марселя Салимжанова, дом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1, кабинет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233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Присутствовали: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Мирсияпов Ришад Рашидович, директор – председатель Центральной закупочной комиссии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Члены Центральной закупочной комиссии: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Галиуллин Эдуард Зиннурович, заместитель директора по производству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Бесхлебная Наталья Сергеевна, заместитель директора по экономике и ценообразованию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Давлетшина Елена Николаевна, главный бухгалтер – начальник отдела бухгалтерского учета и налогообложения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Миннебаева Лилия Равильевна, заместитель начальника коммерческого отдела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Атнагулов Руслан Мелсович, главный специалист (по правовым вопросам) – ответственный секретарь Центральной закупочной комиссии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Отсутствовали: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Сергеев Евгений Михайлович, начальник коммерческого отдела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Кворум для проведения заседания комиссии имеется.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7770" w:leader="none"/>
        </w:tabs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Приглашены: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7770" w:leader="none"/>
        </w:tabs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Аксенов Николай Владимирович, начальник производственно-технического отдела ООО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«ТатАИСЭнерго»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8355" w:leader="none"/>
        </w:tabs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Дата и время проведения запроса котировок в электронной форме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bCs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 xml:space="preserve">Извещение о закупке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№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 xml:space="preserve">2025-02-МСП открыто размещено на официальном сайте ЕИС в сети Интернет, и на электронной торговой площадке </w:t>
      </w:r>
      <w:r>
        <w:rPr>
          <w:rFonts w:cs="Arial;Times New Roman" w:ascii="Arial;Times New Roman" w:hAnsi="Arial;Times New Roman"/>
          <w:sz w:val="20"/>
          <w:szCs w:val="20"/>
        </w:rPr>
        <w:t>http://223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etp</w:t>
      </w:r>
      <w:r>
        <w:rPr>
          <w:rFonts w:cs="Arial;Times New Roman" w:ascii="Arial;Times New Roman" w:hAnsi="Arial;Times New Roman"/>
          <w:sz w:val="20"/>
          <w:szCs w:val="20"/>
        </w:rPr>
        <w:t>.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zakazrf</w:t>
      </w:r>
      <w:r>
        <w:rPr>
          <w:rFonts w:cs="Arial;Times New Roman" w:ascii="Arial;Times New Roman" w:hAnsi="Arial;Times New Roman"/>
          <w:sz w:val="20"/>
          <w:szCs w:val="20"/>
        </w:rPr>
        <w:t>.ru/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«21» февраля 2025 г.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 xml:space="preserve">Дата, время и место начала приема заявок участников: с 12:00 по московскому времени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«21» февраля 2025 г.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 xml:space="preserve">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на электронной торговой площадке </w:t>
      </w:r>
      <w:r>
        <w:rPr>
          <w:rFonts w:cs="Arial;Times New Roman" w:ascii="Arial;Times New Roman" w:hAnsi="Arial;Times New Roman"/>
          <w:sz w:val="20"/>
          <w:szCs w:val="20"/>
        </w:rPr>
        <w:t>http://223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etp</w:t>
      </w:r>
      <w:r>
        <w:rPr>
          <w:rFonts w:cs="Arial;Times New Roman" w:ascii="Arial;Times New Roman" w:hAnsi="Arial;Times New Roman"/>
          <w:sz w:val="20"/>
          <w:szCs w:val="20"/>
        </w:rPr>
        <w:t>.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zakazrf</w:t>
      </w:r>
      <w:r>
        <w:rPr>
          <w:rFonts w:cs="Arial;Times New Roman" w:ascii="Arial;Times New Roman" w:hAnsi="Arial;Times New Roman"/>
          <w:sz w:val="20"/>
          <w:szCs w:val="20"/>
        </w:rPr>
        <w:t>.ru/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 xml:space="preserve">Дата, время и место окончания приема заявок участников: в 12.00 по московскому времени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«28» февраля 2025 г.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 xml:space="preserve">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на электронной торговой площадке </w:t>
      </w:r>
      <w:r>
        <w:rPr>
          <w:rFonts w:cs="Arial;Times New Roman" w:ascii="Arial;Times New Roman" w:hAnsi="Arial;Times New Roman"/>
          <w:sz w:val="20"/>
          <w:szCs w:val="20"/>
        </w:rPr>
        <w:t>http://223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etp</w:t>
      </w:r>
      <w:r>
        <w:rPr>
          <w:rFonts w:cs="Arial;Times New Roman" w:ascii="Arial;Times New Roman" w:hAnsi="Arial;Times New Roman"/>
          <w:sz w:val="20"/>
          <w:szCs w:val="20"/>
        </w:rPr>
        <w:t>.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zakazrf</w:t>
      </w:r>
      <w:r>
        <w:rPr>
          <w:rFonts w:cs="Arial;Times New Roman" w:ascii="Arial;Times New Roman" w:hAnsi="Arial;Times New Roman"/>
          <w:sz w:val="20"/>
          <w:szCs w:val="20"/>
        </w:rPr>
        <w:t>.ru/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0"/>
        <w:rPr/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Дата, время и место рассмотрения предложений участников, осуществления оценки и ранжирования заявок, и подведения итогов закупки: до 16.00 по московскому времени «03»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марта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2025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по адресу: 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 xml:space="preserve">420107, Республика Татарстан,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Казань, ул.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Марселя Салимжанова, дом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1, кабинет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233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Сведения о заказчике: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Общество с ограниченной ответственностью «Татарстан Автоматизация и связь Энерго», ИНН 1655152750, юридический адрес: 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 xml:space="preserve">420107, Республика Татарстан,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Казань, ул.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Марселя Салимжанова, дом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eastAsia="Calibri;Century Gothic" w:cs="Arial;Times New Roman" w:ascii="Arial;Times New Roman" w:hAnsi="Arial;Times New Roman"/>
          <w:sz w:val="20"/>
          <w:szCs w:val="20"/>
        </w:rPr>
        <w:t>Наименование лотов, входящих в состав закупки, и подробное описание условий закупки содержатся в документации о закупке.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Предмет запроса котировок: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Краткое описание: открытый запрос котировок в электронной форме, участниками которого могут быть только субъекты малого и среднего предпринимательства на право заключения договора возмездного оказания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Предмет договора:</w:t>
      </w:r>
      <w:r>
        <w:rPr>
          <w:rFonts w:cs="Arial;Times New Roman" w:ascii="Arial;Times New Roman" w:hAnsi="Arial;Times New Roman"/>
          <w:sz w:val="20"/>
          <w:szCs w:val="20"/>
        </w:rPr>
        <w:t xml:space="preserve">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оказание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Номенклатура мероприятий: согласно конкурсной документации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№</w:t>
      </w:r>
      <w:r>
        <w:rPr>
          <w:rFonts w:cs="Arial;Times New Roman" w:ascii="Arial;Times New Roman" w:hAnsi="Arial;Times New Roman"/>
          <w:sz w:val="20"/>
          <w:szCs w:val="20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2025-02-МСП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Начальная (максимальная) цена договора: </w:t>
      </w:r>
      <w:r>
        <w:rPr>
          <w:rFonts w:cs="Arial;Times New Roman" w:ascii="Arial;Times New Roman" w:hAnsi="Arial;Times New Roman"/>
          <w:sz w:val="20"/>
          <w:szCs w:val="20"/>
        </w:rPr>
        <w:t>276 375,00 руб. (двести семьдесят шесть тысяч триста семьдесят пять руб. 00 коп.) без учета налога на добавленную стоимость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</w:rPr>
        <w:t>В связи с тем, что стоимость закупки превышает сумму в размере 100 000,00 руб., в соответствии с п. 15 ст. 4 Федерального закона от «18»</w:t>
      </w:r>
      <w:r>
        <w:rPr>
          <w:rFonts w:cs="Arial;Times New Roman" w:ascii="Arial;Times New Roman" w:hAnsi="Arial;Times New Roman"/>
          <w:bCs/>
          <w:sz w:val="20"/>
          <w:szCs w:val="20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июля</w:t>
      </w:r>
      <w:r>
        <w:rPr>
          <w:rFonts w:cs="Arial;Times New Roman" w:ascii="Arial;Times New Roman" w:hAnsi="Arial;Times New Roman"/>
          <w:bCs/>
          <w:sz w:val="20"/>
          <w:szCs w:val="20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2011</w:t>
      </w:r>
      <w:r>
        <w:rPr>
          <w:rFonts w:cs="Arial;Times New Roman" w:ascii="Arial;Times New Roman" w:hAnsi="Arial;Times New Roman"/>
          <w:bCs/>
          <w:sz w:val="20"/>
          <w:szCs w:val="20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г. № 223-Ф3 «О закупках товаров, работ, услуг отдельными видами юридических лиц», закупка производилась с размещением сведений в единой информационной системе.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kern w:val="2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Условия оплаты (порядок расчетов): согласно конкурсной документации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№</w:t>
      </w:r>
      <w:r>
        <w:rPr>
          <w:rFonts w:cs="Arial;Times New Roman" w:ascii="Arial;Times New Roman" w:hAnsi="Arial;Times New Roman"/>
          <w:sz w:val="20"/>
          <w:szCs w:val="20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2025-02-МСП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Порядок оказания услуг: согласно конкурсной документации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№</w:t>
      </w:r>
      <w:r>
        <w:rPr>
          <w:rFonts w:cs="Arial;Times New Roman" w:ascii="Arial;Times New Roman" w:hAnsi="Arial;Times New Roman"/>
          <w:sz w:val="20"/>
          <w:szCs w:val="20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2025-02-МСП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Вскрытие заявок проведено в 16.00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«28»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февраля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2025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в электронном виде на сайте </w:t>
      </w:r>
      <w:r>
        <w:rPr>
          <w:rFonts w:cs="Arial;Times New Roman" w:ascii="Arial;Times New Roman" w:hAnsi="Arial;Times New Roman"/>
          <w:sz w:val="20"/>
          <w:szCs w:val="20"/>
        </w:rPr>
        <w:t>http://223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etp</w:t>
      </w:r>
      <w:r>
        <w:rPr>
          <w:rFonts w:cs="Arial;Times New Roman" w:ascii="Arial;Times New Roman" w:hAnsi="Arial;Times New Roman"/>
          <w:sz w:val="20"/>
          <w:szCs w:val="20"/>
        </w:rPr>
        <w:t>.</w:t>
      </w:r>
      <w:r>
        <w:rPr>
          <w:rFonts w:cs="Arial;Times New Roman" w:ascii="Arial;Times New Roman" w:hAnsi="Arial;Times New Roman"/>
          <w:sz w:val="20"/>
          <w:szCs w:val="20"/>
          <w:lang w:val="en-US"/>
        </w:rPr>
        <w:t>zakazrf</w:t>
      </w:r>
      <w:r>
        <w:rPr>
          <w:rFonts w:cs="Arial;Times New Roman" w:ascii="Arial;Times New Roman" w:hAnsi="Arial;Times New Roman"/>
          <w:sz w:val="20"/>
          <w:szCs w:val="20"/>
        </w:rPr>
        <w:t>.ru/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Вопросы заседания комиссии: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567" w:start="567" w:end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Вскрытие заявок с предложениями на участие в открытом запросе котировок в электронной форме, участниками которого могут быть только субъекты малого и среднего предпринимательства на право заключения договора на оказание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Решили:</w:t>
      </w:r>
    </w:p>
    <w:p>
      <w:pPr>
        <w:pStyle w:val="Normal"/>
        <w:spacing w:lineRule="auto" w:line="240" w:before="0" w:after="0"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1.</w:t>
        <w:tab/>
        <w:t xml:space="preserve">Осуществить процедуру вскрытия поступивших заявок в 16:00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«28»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февраля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2025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по адресу 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 xml:space="preserve">420107, Республика Татарстан,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г.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Казань, ул.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Марселя Салимжанова, дом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1, кабинет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233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(без перехода к последующим стадиям закупочной процедуры) по следующему лоту: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1.1.</w:t>
        <w:tab/>
        <w:t xml:space="preserve">Лот 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>№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kern w:val="2"/>
          <w:sz w:val="20"/>
          <w:szCs w:val="20"/>
          <w:lang w:eastAsia="ru-RU"/>
        </w:rPr>
        <w:t xml:space="preserve">2025-02-МСП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на право заключения договора на оказание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1.2.</w:t>
        <w:tab/>
        <w:t>Предмет лота: договор на оказание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1.3.</w:t>
        <w:tab/>
        <w:t>В соответствии с пп.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4 подраздела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1.4.1. «Права и обязанности заказчика» раздела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1.4. «Права и обязанности заказчика и участника» главы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1. «Общие положения» Положения «О закупке ООО «ТатАИСЭнерго», </w:t>
      </w:r>
      <w:r>
        <w:rPr>
          <w:rFonts w:cs="Arial;Times New Roman" w:ascii="Arial;Times New Roman" w:hAnsi="Arial;Times New Roman"/>
          <w:sz w:val="20"/>
          <w:szCs w:val="20"/>
        </w:rPr>
        <w:t xml:space="preserve">заказчик вправе устанавливать требования к участникам, закупаемым товарам, работам, услугам, условиям поставки, выполнения работ, оказания услуг и определить необходимые документы, подтверждающие соответствие этим требованиям, требования к условиям договора, заключаемого по результатам процедуры закупки, требования к составу и оформлению заявок, начальную (максимальную) цену договора (цену лота) и другие требования, указываемые в извещении о закупке и документации о закупке согласно Положению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«О закупке ООО «ТатАИСЭнерго».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/>
      </w:pPr>
      <w:r>
        <w:rPr>
          <w:rFonts w:cs="Arial;Times New Roman" w:ascii="Arial;Times New Roman" w:hAnsi="Arial;Times New Roman"/>
          <w:sz w:val="20"/>
          <w:szCs w:val="20"/>
        </w:rPr>
        <w:t>1.4.</w:t>
        <w:tab/>
        <w:t>В соответствии с пп.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1 под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раздела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1.4.1. «Права и обязанности заказчика» раздела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4. «Права и обязанности заказчика и участника» главы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1. «Общие положения» Положения «О закупке ООО «ТатАИСЭнерго», </w:t>
      </w:r>
      <w:r>
        <w:rPr>
          <w:rFonts w:cs="Arial;Times New Roman" w:ascii="Arial;Times New Roman" w:hAnsi="Arial;Times New Roman"/>
          <w:sz w:val="20"/>
          <w:szCs w:val="20"/>
        </w:rPr>
        <w:t>заказчик обязан предъявлять к участникам закупки, к закупаемым товарам, работам, услугам, а также к условиям исполнения договора требования и осуществлять оценку и сопоставление заявок на участие в закупке только по тем критериям и в том порядке, которые указаны в документации о закупке. Заказчик обязан предъявлять требования к участникам закупки, к закупаемым товарам, работам, услугам, а также к условиям исполнения договора, применять критерии и порядок оценки и сопоставления заявок на участие в закупке, установленные заказчиком в равной степени ко всем участникам закупки, к предлагаемым ими товарам, работам, услугам, к условиям исполнения договора.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  <w:t>1.5.</w:t>
        <w:tab/>
        <w:t>В соответствии с пп.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1.2.3. пункта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1.2. «Стадия подачи заявок на участие в закупке» подраздела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2.2.4. «Общий порядок осуществления конкурентной закупки» раздела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2. «Общий порядок подготовки и осуществления конкурентной закупки» главы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2. «</w:t>
      </w:r>
      <w:r>
        <w:rPr>
          <w:rFonts w:cs="Arial;Times New Roman" w:ascii="Arial;Times New Roman" w:hAnsi="Arial;Times New Roman"/>
          <w:bCs/>
          <w:sz w:val="20"/>
          <w:szCs w:val="20"/>
        </w:rPr>
        <w:t>Способы и формы закупок, общий порядок подготовки и осуществления закупок</w:t>
      </w:r>
      <w:r>
        <w:rPr>
          <w:rFonts w:cs="Arial;Times New Roman" w:ascii="Arial;Times New Roman" w:hAnsi="Arial;Times New Roman"/>
          <w:sz w:val="20"/>
          <w:szCs w:val="20"/>
        </w:rPr>
        <w:t xml:space="preserve">»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Положения «О закупке ООО «ТатАИСЭнерго», </w:t>
      </w:r>
      <w:r>
        <w:rPr>
          <w:rFonts w:cs="Arial;Times New Roman" w:ascii="Arial;Times New Roman" w:hAnsi="Arial;Times New Roman"/>
          <w:sz w:val="20"/>
          <w:szCs w:val="20"/>
        </w:rPr>
        <w:t>участник закупки имеет право подать заявку на участие в закупке в любой момент в течение срока подачи заявок на участие в закупке. Предложения, предоставляемые позже срока окончания подачи предложений, а также с нарушением формы подачи предложений (в том числе с нарушением электронной формы, в незапечатанном конверте при закупках в неэлектронной форме и т.д.) не принимаются заказчиком независимо от причин. Заявки на участие в конкурентной закупке представляются согласно требованиям к содержанию, оформлению и составу заявки на участие в закупке, указанным в документации о закупке, извещении об осуществления запроса котировок в электронной форме. Участник конкурентной закупки вправе подать только одну заявку на участие в такой закупке в отношении каждого предмета закупки (лота) в любое время с момента размещения извещения о ее проведении до предусмотренных документацией о закупке и (или) извещением об осуществлении конкурентной закупки даты и времени окончания срока подачи заявок на участие в такой закупке. Участник конкурентной закупки вправе изменить или отозвать свою заявку до истечения срока подачи заявок. Заявка на участие в такой закупке является измененной или отозванной, если изменение осуществлено или уведомление об отзыве заявки получено заказчиком до истечения срока подачи заявок на участие в такой закупке. Порядок изменения и отзыва заявок при проведении закупки в неэлектронной форме указывается в документации о закупке. При проведении закупки в неэлектронной форме полученные предложения регистрируются заказчиком в соответствующем журнале (реестре), который ведется отдельно на каждую закупку. В протоколах, составленных в ходе закупки, отозванные заявки не отражаются, а измененные заявки отражаются без учета их данных до внесения в них изменений. В любой момент до окончания срока подачи заявок на участие в закупке заказчик вправе внести изменения в извещение об осуществлении конкурентной закупки, документацию о закупке по собственной инициативе или в соответствии с просьбой участника. В случае внесения изменений в извещение об осуществлении конкурентной закупки (за исключением изменения только даты начала, даты и времени окончания срока подачи заявок на участие в закупке (этапах конкурентной закупки) и сроков подведения итогов конкурентной закупки (этапов конкурентной закупки)), документацию о конкурентной закупке срок подачи заявок на участие в такой закупке должен быть продлен таким образом,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закупке.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1.6.</w:t>
        <w:tab/>
        <w:t>Общее количество заявок с предложениями на участие: 1 предложение.</w:t>
      </w:r>
    </w:p>
    <w:p>
      <w:pPr>
        <w:pStyle w:val="Normal"/>
        <w:spacing w:lineRule="auto" w:line="240" w:before="0" w:after="0"/>
        <w:ind w:hanging="567" w:start="567" w:end="0"/>
        <w:contextualSpacing/>
        <w:jc w:val="both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  <w:t>1.7.</w:t>
        <w:tab/>
        <w:t>Данные, оглашенные при вскрытии заявок с предложениями, приведены в таблице №</w:t>
      </w: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1 настоящего протокола.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bCs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Arial;Times New Roman" w:hAnsi="Arial;Times New Roman" w:cs="Arial;Times New Roman"/>
          <w:bCs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  <w:t>Таблица № 1</w:t>
      </w:r>
    </w:p>
    <w:tbl>
      <w:tblPr>
        <w:tblW w:w="10042" w:type="dxa"/>
        <w:jc w:val="start"/>
        <w:tblInd w:w="-15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343"/>
        <w:gridCol w:w="3686"/>
        <w:gridCol w:w="6013"/>
      </w:tblGrid>
      <w:tr>
        <w:trPr/>
        <w:tc>
          <w:tcPr>
            <w:tcW w:w="3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;Times New Roman" w:hAnsi="Arial;Times New Roman" w:cs="Arial;Times New Roman"/>
                <w:b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368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;Times New Roman" w:hAnsi="Arial;Times New Roman" w:cs="Arial;Times New Roman"/>
                <w:b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/>
                <w:bCs/>
                <w:sz w:val="20"/>
                <w:szCs w:val="20"/>
                <w:lang w:eastAsia="ru-RU"/>
              </w:rPr>
              <w:t>Наименование участника и его адрес</w:t>
            </w:r>
          </w:p>
        </w:tc>
        <w:tc>
          <w:tcPr>
            <w:tcW w:w="601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;Times New Roman" w:hAnsi="Arial;Times New Roman" w:cs="Arial;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/>
                <w:bCs/>
                <w:sz w:val="20"/>
                <w:szCs w:val="20"/>
                <w:lang w:eastAsia="ru-RU"/>
              </w:rPr>
              <w:t>Предмет и общая цена заявки на участие в запросе котировок</w:t>
            </w:r>
          </w:p>
        </w:tc>
      </w:tr>
      <w:tr>
        <w:trPr/>
        <w:tc>
          <w:tcPr>
            <w:tcW w:w="3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;Times New Roman" w:hAnsi="Arial;Times New Roman" w:cs="Arial;Times New Roman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368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;Times New Roman" w:hAnsi="Arial;Times New Roman" w:cs="Arial;Times New Roman"/>
                <w:bCs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>Общество с ограниченной ответственностью «Информпроект Групп» ИНН 9729177203, КПП 770301001 ОГРН 5177746295711, юридический адрес: 123112, г. Москва, муниципальный округ Пресненский вн. тер. г., Пресненская набережная, дом 12, помещение 19/64</w:t>
            </w:r>
          </w:p>
        </w:tc>
        <w:tc>
          <w:tcPr>
            <w:tcW w:w="601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;Times New Roman" w:hAnsi="Arial;Times New Roman" w:cs="Arial;Times New Roman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Предложение:</w:t>
            </w:r>
            <w:r>
              <w:rPr>
                <w:rFonts w:cs="Arial;Times New Roman" w:ascii="Arial;Times New Roman" w:hAnsi="Arial;Times New Roman"/>
                <w:bCs/>
                <w:sz w:val="20"/>
                <w:szCs w:val="20"/>
              </w:rPr>
              <w:t xml:space="preserve"> </w:t>
            </w: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оказание услуг по информационной поддержке информационно-справочной системы «Техэксперт: Помощник проектировщика, Стройтехнолог» (3 рабочих места)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;Times New Roman" w:hAnsi="Arial;Times New Roman" w:cs="Arial;Times New Roman"/>
                <w:bCs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;Times New Roman" w:hAnsi="Arial;Times New Roman" w:cs="Arial;Times New Roman"/>
                <w:bCs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 xml:space="preserve">Дата и время подачи заявки – 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«26»</w:t>
            </w: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февраля</w:t>
            </w: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2025</w:t>
            </w: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kern w:val="2"/>
                <w:sz w:val="20"/>
                <w:szCs w:val="20"/>
                <w:lang w:eastAsia="ru-RU"/>
              </w:rPr>
              <w:t>г. в 13.27.16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;Times New Roman" w:hAnsi="Arial;Times New Roman" w:cs="Arial;Times New Roman"/>
                <w:bCs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Arial;Times New Roman" w:hAnsi="Arial;Times New Roman" w:cs="Arial;Times New Roman"/>
                <w:sz w:val="20"/>
                <w:szCs w:val="20"/>
              </w:rPr>
            </w:pP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 xml:space="preserve">Стоимость </w:t>
            </w:r>
            <w:r>
              <w:rPr>
                <w:rFonts w:cs="Arial;Times New Roman" w:ascii="Arial;Times New Roman" w:hAnsi="Arial;Times New Roman"/>
                <w:sz w:val="20"/>
                <w:szCs w:val="20"/>
              </w:rPr>
              <w:t>276 375,00 руб. (двести семьдесят шесть тысяч триста семьдесят пять руб. 00 коп.) без учета налога на добавленную стоимость</w:t>
            </w:r>
          </w:p>
        </w:tc>
      </w:tr>
    </w:tbl>
    <w:p>
      <w:pPr>
        <w:pStyle w:val="Normal"/>
        <w:spacing w:lineRule="auto" w:line="240" w:before="0" w:after="0"/>
        <w:ind w:hanging="567" w:start="567" w:end="0"/>
        <w:jc w:val="both"/>
        <w:rPr>
          <w:rFonts w:ascii="Arial;Times New Roman" w:hAnsi="Arial;Times New Roman" w:cs="Arial;Times New Roman"/>
          <w:bCs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bCs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ind w:hanging="567" w:start="567" w:end="0"/>
        <w:jc w:val="both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  <w:t>2.</w:t>
        <w:tab/>
        <w:t>Направить полученную документацию на рассмотрение членам комиссии для подготовки заключения.</w:t>
      </w:r>
    </w:p>
    <w:p>
      <w:pPr>
        <w:pStyle w:val="Normal"/>
        <w:spacing w:lineRule="auto" w:line="240" w:before="0" w:after="0"/>
        <w:ind w:hanging="567" w:start="567" w:end="0"/>
        <w:jc w:val="both"/>
        <w:rPr/>
      </w:pPr>
      <w:r>
        <w:rPr>
          <w:rFonts w:cs="Arial;Times New Roman" w:ascii="Arial;Times New Roman" w:hAnsi="Arial;Times New Roman"/>
          <w:sz w:val="20"/>
          <w:szCs w:val="20"/>
        </w:rPr>
        <w:t>3.</w:t>
        <w:tab/>
        <w:t>Ответственному секретарю комиссии проверить комплектность представленных претендентом документов, подготовить протокол заседания Центральной закупочной комиссии ООО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</w:rPr>
        <w:t>«ТатАИСЭнерго» для опубликования.</w:t>
      </w:r>
    </w:p>
    <w:p>
      <w:pPr>
        <w:pStyle w:val="Normal"/>
        <w:spacing w:lineRule="auto" w:line="240" w:before="0" w:after="0"/>
        <w:ind w:hanging="567" w:start="567" w:end="0"/>
        <w:jc w:val="both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  <w:t>4.</w:t>
        <w:tab/>
        <w:t xml:space="preserve">Для оценки технической части предложения претендента на соответствие техническому заданию, направить документацию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Аксенову Николаю Владимировичу (начальник производственно-технического отдела ООО</w:t>
      </w:r>
      <w:r>
        <w:rPr>
          <w:rFonts w:cs="Arial;Times New Roman" w:ascii="Arial;Times New Roman" w:hAnsi="Arial;Times New Roman"/>
          <w:sz w:val="20"/>
          <w:szCs w:val="20"/>
          <w:lang w:val="en-US" w:eastAsia="ru-RU"/>
        </w:rPr>
        <w:t>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>«ТатАИСЭнерго»)</w:t>
      </w:r>
      <w:r>
        <w:rPr>
          <w:rFonts w:cs="Arial;Times New Roman" w:ascii="Arial;Times New Roman" w:hAnsi="Arial;Times New Roman"/>
          <w:sz w:val="20"/>
          <w:szCs w:val="20"/>
        </w:rPr>
        <w:t>.</w:t>
      </w:r>
    </w:p>
    <w:p>
      <w:pPr>
        <w:pStyle w:val="Normal"/>
        <w:spacing w:lineRule="auto" w:line="240" w:before="0" w:after="0"/>
        <w:ind w:hanging="567" w:start="567" w:end="0"/>
        <w:jc w:val="both"/>
        <w:rPr/>
      </w:pPr>
      <w:r>
        <w:rPr>
          <w:rFonts w:cs="Arial;Times New Roman" w:ascii="Arial;Times New Roman" w:hAnsi="Arial;Times New Roman"/>
          <w:sz w:val="20"/>
          <w:szCs w:val="20"/>
        </w:rPr>
        <w:t>5.</w:t>
        <w:tab/>
        <w:t>Утвердить протокол заседания закупочной комиссии по вскрытию заявок, поступивших на открытый запрос котировок.</w:t>
      </w:r>
    </w:p>
    <w:p>
      <w:pPr>
        <w:pStyle w:val="Normal"/>
        <w:spacing w:lineRule="auto" w:line="240" w:before="0" w:after="0"/>
        <w:ind w:hanging="567" w:start="567" w:end="0"/>
        <w:jc w:val="both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Результаты голосования: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«За» </w:t>
      </w:r>
      <w:r>
        <w:rPr>
          <w:rFonts w:cs="Arial;Times New Roman" w:ascii="Arial;Times New Roman" w:hAnsi="Arial;Times New Roman"/>
          <w:sz w:val="20"/>
          <w:szCs w:val="20"/>
          <w:u w:val="single"/>
          <w:lang w:eastAsia="ru-RU"/>
        </w:rPr>
        <w:t xml:space="preserve">  6  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членов комиссии.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«Против» </w:t>
      </w:r>
      <w:r>
        <w:rPr>
          <w:rFonts w:cs="Arial;Times New Roman" w:ascii="Arial;Times New Roman" w:hAnsi="Arial;Times New Roman"/>
          <w:sz w:val="20"/>
          <w:szCs w:val="20"/>
          <w:u w:val="single"/>
          <w:lang w:eastAsia="ru-RU"/>
        </w:rPr>
        <w:t>  0 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членов комиссии.</w:t>
      </w:r>
    </w:p>
    <w:p>
      <w:pPr>
        <w:pStyle w:val="Normal"/>
        <w:tabs>
          <w:tab w:val="clear" w:pos="708"/>
          <w:tab w:val="center" w:pos="4961" w:leader="none"/>
        </w:tabs>
        <w:spacing w:lineRule="auto" w:line="240" w:before="0" w:after="0"/>
        <w:jc w:val="both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«Воздержалось» </w:t>
      </w:r>
      <w:r>
        <w:rPr>
          <w:rFonts w:cs="Arial;Times New Roman" w:ascii="Arial;Times New Roman" w:hAnsi="Arial;Times New Roman"/>
          <w:sz w:val="20"/>
          <w:szCs w:val="20"/>
          <w:u w:val="single"/>
          <w:lang w:eastAsia="ru-RU"/>
        </w:rPr>
        <w:t>  0 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членов комиссии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/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«Отсутствовало» </w:t>
      </w:r>
      <w:r>
        <w:rPr>
          <w:rFonts w:cs="Arial;Times New Roman" w:ascii="Arial;Times New Roman" w:hAnsi="Arial;Times New Roman"/>
          <w:sz w:val="20"/>
          <w:szCs w:val="20"/>
          <w:u w:val="single"/>
          <w:lang w:eastAsia="ru-RU"/>
        </w:rPr>
        <w:t>  1 </w:t>
      </w:r>
      <w:r>
        <w:rPr>
          <w:rFonts w:cs="Arial;Times New Roman" w:ascii="Arial;Times New Roman" w:hAnsi="Arial;Times New Roman"/>
          <w:sz w:val="20"/>
          <w:szCs w:val="20"/>
          <w:lang w:eastAsia="ru-RU"/>
        </w:rPr>
        <w:t xml:space="preserve"> член комиссии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p>
      <w:pPr>
        <w:pStyle w:val="Style18"/>
        <w:numPr>
          <w:ilvl w:val="0"/>
          <w:numId w:val="0"/>
        </w:numPr>
        <w:spacing w:lineRule="auto" w:line="240" w:before="0" w:after="0"/>
        <w:ind w:hanging="0" w:start="0" w:end="0"/>
        <w:contextualSpacing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  <w:t>Подписи членов комиссии:</w:t>
      </w:r>
    </w:p>
    <w:p>
      <w:pPr>
        <w:pStyle w:val="Style18"/>
        <w:numPr>
          <w:ilvl w:val="0"/>
          <w:numId w:val="0"/>
        </w:numPr>
        <w:spacing w:lineRule="auto" w:line="240" w:before="0" w:after="0"/>
        <w:ind w:hanging="0" w:start="0" w:end="0"/>
        <w:contextualSpacing/>
        <w:outlineLvl w:val="1"/>
        <w:rPr>
          <w:rFonts w:ascii="Arial;Times New Roman" w:hAnsi="Arial;Times New Roman" w:cs="Arial;Times New Roman"/>
          <w:sz w:val="20"/>
          <w:szCs w:val="20"/>
          <w:lang w:eastAsia="ru-RU"/>
        </w:rPr>
      </w:pPr>
      <w:r>
        <w:rPr>
          <w:rFonts w:cs="Arial;Times New Roman" w:ascii="Arial;Times New Roman" w:hAnsi="Arial;Times New Roman"/>
          <w:sz w:val="20"/>
          <w:szCs w:val="20"/>
          <w:lang w:eastAsia="ru-RU"/>
        </w:rPr>
      </w:r>
    </w:p>
    <w:tbl>
      <w:tblPr>
        <w:tblW w:w="99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60"/>
        <w:gridCol w:w="2345"/>
      </w:tblGrid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Мирсияпов Ришад Рашидович,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директор – председатель Центральной закупочной комиссии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Члены Центральной закупочной комиссии: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/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Галиуллин Эдуард Зиннурович,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заместитель директора по производству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/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Бесхлебная Наталья Сергеевна,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заместитель директора по экономике и ценообразованию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 xml:space="preserve">Давлетшина Елена Николаевна, главный бухгалтер –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начальник отдела бухгалтерского учета и налогообложения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/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Миннебаева Лилия Равильевна,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заместитель начальника коммерческого отдела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/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Атнагулов Руслан Мелсович, главный специалист (по правовым вопросам) –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ответственный секретарь Центральной закупочной комиссии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Приглашенные: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/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Аксенов Николай Владимирович,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начальник производственно-технического отдела ООО</w:t>
            </w:r>
            <w:r>
              <w:rPr>
                <w:rFonts w:cs="Arial;Times New Roman" w:ascii="Arial;Times New Roman" w:hAnsi="Arial;Times New Roman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;Times New Roman" w:ascii="Arial;Times New Roman" w:hAnsi="Arial;Times New Roman"/>
                <w:sz w:val="20"/>
                <w:szCs w:val="20"/>
                <w:lang w:eastAsia="ru-RU"/>
              </w:rPr>
              <w:t>«ТатАИСЭнерго»</w:t>
            </w:r>
          </w:p>
        </w:tc>
        <w:tc>
          <w:tcPr>
            <w:tcW w:w="23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64" w:before="0" w:after="0"/>
              <w:jc w:val="both"/>
              <w:outlineLvl w:val="1"/>
              <w:rPr>
                <w:rFonts w:ascii="Arial;Times New Roman" w:hAnsi="Arial;Times New Roman" w:cs="Arial;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;Times New Roman" w:ascii="Arial;Times New Roman" w:hAnsi="Arial;Times New Roman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</w:tbl>
    <w:p>
      <w:pPr>
        <w:pStyle w:val="Style18"/>
        <w:numPr>
          <w:ilvl w:val="0"/>
          <w:numId w:val="0"/>
        </w:numPr>
        <w:spacing w:lineRule="auto" w:line="240" w:before="0" w:after="0"/>
        <w:ind w:hanging="0" w:start="0" w:end="0"/>
        <w:contextualSpacing/>
        <w:outlineLvl w:val="1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>
          <w:rFonts w:ascii="Arial;Times New Roman" w:hAnsi="Arial;Times New Roman" w:cs="Arial;Times New Roman"/>
          <w:sz w:val="20"/>
          <w:szCs w:val="20"/>
        </w:rPr>
      </w:pPr>
      <w:r>
        <w:rPr>
          <w:rFonts w:cs="Arial;Times New Roman" w:ascii="Arial;Times New Roman" w:hAnsi="Arial;Times New Roman"/>
          <w:sz w:val="20"/>
          <w:szCs w:val="20"/>
        </w:rPr>
      </w:r>
    </w:p>
    <w:sectPr>
      <w:footerReference w:type="default" r:id="rId2"/>
      <w:type w:val="nextPage"/>
      <w:pgSz w:w="11906" w:h="16838"/>
      <w:pgMar w:left="1134" w:right="850" w:gutter="0" w:header="0" w:top="993" w:footer="13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Century Gothic"/>
    <w:charset w:val="cc" w:characterSet="windows-1251"/>
    <w:family w:val="swiss"/>
    <w:pitch w:val="variable"/>
  </w:font>
  <w:font w:name="Arial">
    <w:altName w:val="Times New Roman"/>
    <w:charset w:val="cc" w:characterSet="windows-1251"/>
    <w:family w:val="swiss"/>
    <w:pitch w:val="variable"/>
  </w:font>
  <w:font w:name="Symbol">
    <w:altName w:val="Times New Roman"/>
    <w:charset w:val="02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altName w:val="Times New Roman"/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Arial;Times New Roman" w:hAnsi="Arial;Times New Roman" w:cs="Arial;Times New Roman"/>
        <w:sz w:val="20"/>
        <w:szCs w:val="20"/>
      </w:rPr>
    </w:pPr>
    <w:r>
      <w:rPr>
        <w:rFonts w:cs="Arial;Times New Roman" w:ascii="Arial;Times New Roman" w:hAnsi="Arial;Times New Roman"/>
        <w:sz w:val="20"/>
        <w:szCs w:val="20"/>
      </w:rPr>
      <w:fldChar w:fldCharType="begin"/>
    </w:r>
    <w:r>
      <w:rPr>
        <w:sz w:val="20"/>
        <w:szCs w:val="20"/>
        <w:rFonts w:cs="Arial;Times New Roman" w:ascii="Arial;Times New Roman" w:hAnsi="Arial;Times New Roman"/>
      </w:rPr>
      <w:instrText xml:space="preserve"> PAGE </w:instrText>
    </w:r>
    <w:r>
      <w:rPr>
        <w:sz w:val="20"/>
        <w:szCs w:val="20"/>
        <w:rFonts w:cs="Arial;Times New Roman" w:ascii="Arial;Times New Roman" w:hAnsi="Arial;Times New Roman"/>
      </w:rPr>
      <w:fldChar w:fldCharType="separate"/>
    </w:r>
    <w:r>
      <w:rPr>
        <w:sz w:val="20"/>
        <w:szCs w:val="20"/>
        <w:rFonts w:cs="Arial;Times New Roman" w:ascii="Arial;Times New Roman" w:hAnsi="Arial;Times New Roman"/>
      </w:rPr>
      <w:t>4</w:t>
    </w:r>
    <w:r>
      <w:rPr>
        <w:sz w:val="20"/>
        <w:szCs w:val="20"/>
        <w:rFonts w:cs="Arial;Times New Roman" w:ascii="Arial;Times New Roman" w:hAnsi="Arial;Times New Roman"/>
      </w:rPr>
      <w:fldChar w:fldCharType="end"/>
    </w:r>
  </w:p>
  <w:p>
    <w:pPr>
      <w:pStyle w:val="Footer"/>
      <w:spacing w:before="0" w:after="200"/>
      <w:rPr>
        <w:rFonts w:ascii="Arial;Times New Roman" w:hAnsi="Arial;Times New Roman" w:cs="Arial;Times New Roman"/>
        <w:sz w:val="20"/>
        <w:szCs w:val="20"/>
      </w:rPr>
    </w:pPr>
    <w:r>
      <w:rPr>
        <w:rFonts w:cs="Arial;Times New Roman" w:ascii="Arial;Times New Roman" w:hAnsi="Arial;Times New Roman"/>
        <w:sz w:val="20"/>
        <w:szCs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;Century Gothic" w:hAnsi="Calibri;Century Gothic" w:eastAsia="Times New Roman;Times New Roman" w:cs="Times New Roman;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88" w:before="0" w:after="280"/>
      <w:outlineLvl w:val="0"/>
    </w:pPr>
    <w:rPr>
      <w:rFonts w:ascii="Arial;Times New Roman" w:hAnsi="Arial;Times New Roman" w:cs="Arial;Times New Roman"/>
      <w:color w:val="333333"/>
      <w:kern w:val="2"/>
      <w:sz w:val="36"/>
      <w:szCs w:val="36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64" w:before="280" w:after="65"/>
      <w:outlineLvl w:val="1"/>
    </w:pPr>
    <w:rPr>
      <w:rFonts w:ascii="Arial;Times New Roman" w:hAnsi="Arial;Times New Roman" w:cs="Arial;Times New Roman"/>
      <w:b/>
      <w:bCs/>
      <w:color w:val="333333"/>
      <w:sz w:val="30"/>
      <w:szCs w:val="30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Arial;Times New Roman" w:hAnsi="Arial;Times New Roman" w:cs="Arial;Times New Roman"/>
      <w:b/>
      <w:bCs/>
      <w:color w:val="333333"/>
      <w:sz w:val="28"/>
      <w:szCs w:val="28"/>
    </w:rPr>
  </w:style>
  <w:style w:type="character" w:styleId="WW8Num1z0">
    <w:name w:val="WW8Num1z0"/>
    <w:qFormat/>
    <w:rPr>
      <w:rFonts w:cs="Times New Roman;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;Times New Roman" w:hAnsi="Symbol;Times New Roman" w:cs="Symbol;Times New Roman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;Times New Roman" w:hAnsi="Symbol;Times New Roman" w:cs="Symbol;Times New Roman"/>
      <w:sz w:val="20"/>
    </w:rPr>
  </w:style>
  <w:style w:type="character" w:styleId="WW8Num5z0">
    <w:name w:val="WW8Num5z0"/>
    <w:qFormat/>
    <w:rPr>
      <w:rFonts w:ascii="Symbol;Times New Roman" w:hAnsi="Symbol;Times New Roman" w:cs="Symbol;Times New Roman"/>
      <w:sz w:val="20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Arial;Times New Roman" w:hAnsi="Arial;Times New Roman" w:cs="Arial;Times New Roman"/>
      <w:color w:val="333333"/>
      <w:kern w:val="2"/>
      <w:sz w:val="36"/>
      <w:szCs w:val="36"/>
      <w:lang w:val="en-US"/>
    </w:rPr>
  </w:style>
  <w:style w:type="character" w:styleId="2">
    <w:name w:val="Заголовок 2 Знак"/>
    <w:qFormat/>
    <w:rPr>
      <w:rFonts w:ascii="Arial;Times New Roman" w:hAnsi="Arial;Times New Roman" w:cs="Arial;Times New Roman"/>
      <w:b/>
      <w:bCs/>
      <w:color w:val="333333"/>
      <w:sz w:val="30"/>
      <w:szCs w:val="30"/>
      <w:lang w:val="en-US"/>
    </w:rPr>
  </w:style>
  <w:style w:type="character" w:styleId="3">
    <w:name w:val="Заголовок 3 Знак"/>
    <w:qFormat/>
    <w:rPr>
      <w:rFonts w:ascii="Arial;Times New Roman" w:hAnsi="Arial;Times New Roman" w:cs="Arial;Times New Roman"/>
      <w:b/>
      <w:bCs/>
      <w:color w:val="333333"/>
      <w:sz w:val="28"/>
      <w:szCs w:val="28"/>
      <w:lang w:val="en-US"/>
    </w:rPr>
  </w:style>
  <w:style w:type="character" w:styleId="Style12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character" w:styleId="Hyperlink">
    <w:name w:val="Hyperlink"/>
    <w:rPr>
      <w:rFonts w:cs="Times New Roman;Times New Roman"/>
      <w:color w:val="4E76B2"/>
      <w:u w:val="none"/>
    </w:rPr>
  </w:style>
  <w:style w:type="character" w:styleId="Style13">
    <w:name w:val="Основной текст_"/>
    <w:qFormat/>
    <w:rPr>
      <w:rFonts w:ascii="Arial;Times New Roman" w:hAnsi="Arial;Times New Roman" w:cs="Arial;Times New Roman"/>
      <w:sz w:val="17"/>
      <w:szCs w:val="17"/>
      <w:shd w:fill="FFFFFF" w:val="clear"/>
    </w:rPr>
  </w:style>
  <w:style w:type="character" w:styleId="Style14">
    <w:name w:val="Верхний колонтитул Знак"/>
    <w:qFormat/>
    <w:rPr>
      <w:rFonts w:cs="Times New Roman;Times New Roman"/>
      <w:sz w:val="22"/>
      <w:szCs w:val="22"/>
    </w:rPr>
  </w:style>
  <w:style w:type="character" w:styleId="Style15">
    <w:name w:val="Нижний колонтитул Знак"/>
    <w:qFormat/>
    <w:rPr>
      <w:rFonts w:cs="Times New Roman;Times New Roman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Обычный (веб)"/>
    <w:basedOn w:val="Normal"/>
    <w:qFormat/>
    <w:pPr>
      <w:spacing w:lineRule="auto" w:line="240" w:before="280" w:after="280"/>
    </w:pPr>
    <w:rPr>
      <w:rFonts w:ascii="Times New Roman;Times New Roman" w:hAnsi="Times New Roman;Times New Roman" w:cs="Times New Roman;Times New Roman"/>
      <w:sz w:val="24"/>
      <w:szCs w:val="24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Tahoma;Times New Roman" w:hAnsi="Tahoma;Times New Roman" w:cs="Tahoma;Times New Roman"/>
      <w:sz w:val="16"/>
      <w:szCs w:val="16"/>
    </w:rPr>
  </w:style>
  <w:style w:type="paragraph" w:styleId="5">
    <w:name w:val="Основной текст5"/>
    <w:basedOn w:val="Normal"/>
    <w:qFormat/>
    <w:pPr>
      <w:shd w:fill="FFFFFF" w:val="clear"/>
      <w:spacing w:lineRule="atLeast" w:line="240" w:before="0" w:after="0"/>
    </w:pPr>
    <w:rPr>
      <w:rFonts w:ascii="Arial;Times New Roman" w:hAnsi="Arial;Times New Roman" w:cs="Arial;Times New Roman"/>
      <w:sz w:val="17"/>
      <w:szCs w:val="17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Абзац списка"/>
    <w:basedOn w:val="Normal"/>
    <w:qFormat/>
    <w:pPr>
      <w:spacing w:before="0" w:after="200"/>
      <w:ind w:hanging="0" w:start="720" w:end="0"/>
      <w:contextualSpacing/>
    </w:pPr>
    <w:rPr>
      <w:rFonts w:ascii="Calibri;Century Gothic" w:hAnsi="Calibri;Century Gothic" w:cs="Calibri;Century Gothic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2025-03-03T05:07:00Z</dcterms:created>
  <dc:creator>VinokurovaAU</dc:creator>
  <dc:description/>
  <cp:keywords/>
  <dc:language>en-US</dc:language>
  <cp:lastModifiedBy>Атнагулов Руслан Мелсович</cp:lastModifiedBy>
  <cp:lastPrinted>2023-03-22T12:59:00Z</cp:lastPrinted>
  <dcterms:modified xsi:type="dcterms:W3CDTF">2025-03-03T05:34:00Z</dcterms:modified>
  <cp:revision>5</cp:revision>
  <dc:subject/>
  <dc:title/>
</cp:coreProperties>
</file>