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i/>
          <w:lang w:eastAsia="ru-RU"/>
        </w:rPr>
        <w:outlineLvl w:val="0"/>
      </w:pPr>
      <w:r>
        <w:rPr>
          <w:rFonts w:ascii="Times New Roman" w:hAnsi="Times New Roman" w:eastAsia="Times New Roman" w:cs="Times New Roman"/>
          <w:b/>
          <w:i/>
          <w:lang w:eastAsia="ru-RU"/>
        </w:rPr>
        <w:t xml:space="preserve">ПРОТОКОЛ ЗАСЕДАНИЯ</w:t>
      </w:r>
      <w:bookmarkStart w:id="0" w:name="_Toc57314690"/>
      <w:r/>
      <w:bookmarkStart w:id="1" w:name="_Toc69729004"/>
      <w:r/>
      <w:bookmarkStart w:id="2" w:name="_Ref93295407"/>
      <w:r/>
      <w:bookmarkStart w:id="3" w:name="_Ref175654232"/>
      <w:r>
        <w:rPr>
          <w:rFonts w:ascii="Times New Roman" w:hAnsi="Times New Roman" w:eastAsia="Times New Roman" w:cs="Times New Roman"/>
          <w:b/>
          <w:i/>
          <w:lang w:eastAsia="ru-RU"/>
        </w:rPr>
      </w:r>
      <w:r>
        <w:rPr>
          <w:rFonts w:ascii="Times New Roman" w:hAnsi="Times New Roman" w:eastAsia="Times New Roman" w:cs="Times New Roman"/>
          <w:b/>
          <w:i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i/>
        </w:rPr>
        <w:outlineLvl w:val="0"/>
      </w:pPr>
      <w:r>
        <w:rPr>
          <w:rFonts w:ascii="Times New Roman" w:hAnsi="Times New Roman" w:cs="Times New Roman"/>
          <w:b/>
          <w:i/>
        </w:rPr>
        <w:t xml:space="preserve">ЦЕНТРАЛЬНОЙ КОНКУРСНОЙ КОМИССИИ № </w:t>
      </w:r>
      <w:bookmarkEnd w:id="0"/>
      <w:r/>
      <w:bookmarkEnd w:id="1"/>
      <w:r/>
      <w:bookmarkEnd w:id="2"/>
      <w:r/>
      <w:bookmarkEnd w:id="3"/>
      <w:r>
        <w:rPr>
          <w:rFonts w:ascii="Times New Roman" w:hAnsi="Times New Roman" w:cs="Times New Roman"/>
          <w:b/>
          <w:i/>
        </w:rPr>
      </w:r>
      <w:r>
        <w:rPr>
          <w:rFonts w:ascii="Times New Roman" w:hAnsi="Times New Roman" w:cs="Times New Roman"/>
          <w:b/>
          <w:i/>
        </w:rPr>
        <w:t xml:space="preserve">32515446850</w:t>
      </w:r>
      <w:r>
        <w:rPr>
          <w:rFonts w:ascii="Times New Roman" w:hAnsi="Times New Roman" w:cs="Times New Roman"/>
          <w:b/>
          <w:i/>
        </w:rPr>
      </w:r>
      <w:r>
        <w:rPr>
          <w:rFonts w:ascii="Times New Roman" w:hAnsi="Times New Roman" w:cs="Times New Roman"/>
          <w:b/>
          <w:i/>
        </w:rPr>
        <w:t xml:space="preserve">/1</w:t>
      </w:r>
      <w:r>
        <w:rPr>
          <w:rFonts w:ascii="Times New Roman" w:hAnsi="Times New Roman" w:cs="Times New Roman"/>
          <w:b/>
          <w:i/>
        </w:rPr>
      </w:r>
      <w:r>
        <w:rPr>
          <w:rFonts w:ascii="Times New Roman" w:hAnsi="Times New Roman" w:cs="Times New Roman"/>
          <w:b/>
          <w:i/>
        </w:rPr>
      </w:r>
    </w:p>
    <w:p>
      <w:pPr>
        <w:spacing w:after="0" w:line="240" w:lineRule="auto"/>
        <w:tabs>
          <w:tab w:val="left" w:pos="426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Дата заседания комиссии: </w:t>
      </w:r>
      <w:r>
        <w:rPr>
          <w:rFonts w:ascii="Times New Roman" w:hAnsi="Times New Roman" w:cs="Times New Roman"/>
        </w:rPr>
        <w:t xml:space="preserve">28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ок</w:t>
      </w:r>
      <w:r>
        <w:rPr>
          <w:rFonts w:ascii="Times New Roman" w:hAnsi="Times New Roman" w:cs="Times New Roman"/>
        </w:rPr>
        <w:t xml:space="preserve">тября</w:t>
      </w:r>
      <w:r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</w:rPr>
        <w:t xml:space="preserve">5</w:t>
      </w:r>
      <w:r>
        <w:rPr>
          <w:rFonts w:ascii="Times New Roman" w:hAnsi="Times New Roman" w:cs="Times New Roman"/>
        </w:rPr>
        <w:t xml:space="preserve"> года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both"/>
        <w:spacing w:after="0" w:line="240" w:lineRule="auto"/>
        <w:tabs>
          <w:tab w:val="left" w:pos="426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Дата подписания протокола: </w:t>
      </w:r>
      <w:r>
        <w:rPr>
          <w:rFonts w:ascii="Times New Roman" w:hAnsi="Times New Roman" w:cs="Times New Roman"/>
        </w:rPr>
        <w:t xml:space="preserve">28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ок</w:t>
      </w:r>
      <w:r>
        <w:rPr>
          <w:rFonts w:ascii="Times New Roman" w:hAnsi="Times New Roman" w:cs="Times New Roman"/>
        </w:rPr>
        <w:t xml:space="preserve">тября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202</w:t>
      </w:r>
      <w:r>
        <w:rPr>
          <w:rFonts w:ascii="Times New Roman" w:hAnsi="Times New Roman" w:cs="Times New Roman"/>
        </w:rPr>
        <w:t xml:space="preserve">5</w:t>
      </w:r>
      <w:r>
        <w:rPr>
          <w:rFonts w:ascii="Times New Roman" w:hAnsi="Times New Roman" w:cs="Times New Roman"/>
        </w:rPr>
        <w:t xml:space="preserve"> года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pacing w:after="0" w:line="240" w:lineRule="auto"/>
        <w:tabs>
          <w:tab w:val="left" w:pos="426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Форма проведения заседания комиссии: очно-заочная.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both"/>
        <w:spacing w:after="0" w:line="240" w:lineRule="auto"/>
        <w:tabs>
          <w:tab w:val="left" w:pos="426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Общее число членов Центральной конкурсной комиссии АО </w:t>
      </w:r>
      <w:r>
        <w:rPr>
          <w:rFonts w:ascii="Times New Roman" w:hAnsi="Times New Roman" w:cs="Times New Roman"/>
        </w:rPr>
        <w:t xml:space="preserve">«</w:t>
      </w:r>
      <w:r>
        <w:rPr>
          <w:rFonts w:ascii="Times New Roman" w:hAnsi="Times New Roman" w:cs="Times New Roman"/>
        </w:rPr>
        <w:t xml:space="preserve">Россети Кубань</w:t>
      </w:r>
      <w:r>
        <w:rPr>
          <w:rFonts w:ascii="Times New Roman" w:hAnsi="Times New Roman" w:cs="Times New Roman"/>
        </w:rPr>
        <w:t xml:space="preserve">»</w:t>
      </w:r>
      <w:r>
        <w:rPr>
          <w:rFonts w:ascii="Times New Roman" w:hAnsi="Times New Roman" w:cs="Times New Roman"/>
        </w:rPr>
        <w:t xml:space="preserve"> составляет - 9.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1049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0490"/>
      </w:tblGrid>
      <w:tr>
        <w:tblPrEx/>
        <w:trPr>
          <w:trHeight w:val="1048"/>
        </w:trPr>
        <w:tc>
          <w:tcPr>
            <w:shd w:val="clear" w:color="auto" w:fill="auto"/>
            <w:tcW w:w="10490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Голосовали: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 xml:space="preserve">Председатель ЦКК:</w:t>
            </w:r>
            <w:r>
              <w:rPr>
                <w:rFonts w:ascii="Times New Roman" w:hAnsi="Times New Roman" w:cs="Times New Roman"/>
                <w:color w:val="000000"/>
              </w:rPr>
              <w:t xml:space="preserve"> В.А. Коржаневский.</w:t>
            </w:r>
            <w:r>
              <w:rPr>
                <w:rFonts w:ascii="Times New Roman" w:hAnsi="Times New Roman" w:cs="Times New Roman"/>
                <w:b/>
                <w:color w:val="000000"/>
              </w:rPr>
            </w:r>
            <w:r>
              <w:rPr>
                <w:rFonts w:ascii="Times New Roman" w:hAnsi="Times New Roman" w:cs="Times New Roman"/>
                <w:b/>
                <w:color w:val="000000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 xml:space="preserve">Заместитель председателя ЦКК:</w:t>
            </w:r>
            <w:r>
              <w:rPr>
                <w:rFonts w:ascii="Times New Roman" w:hAnsi="Times New Roman" w:cs="Times New Roman"/>
                <w:color w:val="000000"/>
              </w:rPr>
              <w:t xml:space="preserve"> О.Ф. Нищук.</w:t>
            </w:r>
            <w:r>
              <w:rPr>
                <w:rFonts w:ascii="Times New Roman" w:hAnsi="Times New Roman" w:cs="Times New Roman"/>
                <w:color w:val="000000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 xml:space="preserve">Члены ЦКК: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 xml:space="preserve">С.С. Шевченко, </w:t>
            </w:r>
            <w:r>
              <w:rPr>
                <w:rFonts w:ascii="Times New Roman" w:hAnsi="Times New Roman" w:cs="Times New Roman"/>
                <w:color w:val="000000"/>
              </w:rPr>
              <w:t xml:space="preserve">А.А. Часов, </w:t>
            </w:r>
            <w:r>
              <w:rPr>
                <w:rFonts w:ascii="Times New Roman" w:hAnsi="Times New Roman" w:cs="Times New Roman"/>
                <w:color w:val="000000"/>
              </w:rPr>
              <w:t xml:space="preserve">Д.А. Коновалов, Д.В. Подсвиров, О.В. Бабак.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 xml:space="preserve">Не приняли участие в голосовании: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 xml:space="preserve">В.А. Михайлов, 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  <w:t xml:space="preserve">О.В. Крылов.                  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</w:p>
        </w:tc>
      </w:tr>
    </w:tbl>
    <w:p>
      <w:pPr>
        <w:jc w:val="both"/>
        <w:spacing w:after="0" w:line="240" w:lineRule="auto"/>
        <w:tabs>
          <w:tab w:val="left" w:pos="426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Кворум имеется. Комиссия правомочна.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both"/>
        <w:spacing w:after="0" w:line="240" w:lineRule="auto"/>
        <w:tabs>
          <w:tab w:val="left" w:pos="709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Настоящий </w:t>
      </w:r>
      <w:r>
        <w:rPr>
          <w:rFonts w:ascii="Times New Roman" w:hAnsi="Times New Roman" w:cs="Times New Roman"/>
        </w:rPr>
        <w:t xml:space="preserve">запрос цен по результатам предварительного отбора</w:t>
      </w:r>
      <w:r>
        <w:rPr>
          <w:rFonts w:ascii="Times New Roman" w:hAnsi="Times New Roman" w:cs="Times New Roman"/>
        </w:rPr>
        <w:t xml:space="preserve"> в электронной форме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проводится с использованием функционала Единой э</w:t>
      </w:r>
      <w:r>
        <w:rPr>
          <w:rFonts w:ascii="Times New Roman" w:hAnsi="Times New Roman" w:cs="Times New Roman"/>
          <w:iCs/>
        </w:rPr>
        <w:t xml:space="preserve">лектронной торговой площадки </w:t>
      </w:r>
      <w:r>
        <w:rPr>
          <w:rFonts w:ascii="Times New Roman" w:hAnsi="Times New Roman" w:cs="Times New Roman"/>
          <w:iCs/>
        </w:rPr>
        <w:t xml:space="preserve">«</w:t>
      </w:r>
      <w:r>
        <w:rPr>
          <w:rFonts w:ascii="Times New Roman" w:hAnsi="Times New Roman" w:cs="Times New Roman"/>
          <w:iCs/>
        </w:rPr>
        <w:t xml:space="preserve">Росэлторг</w:t>
      </w:r>
      <w:r>
        <w:rPr>
          <w:rFonts w:ascii="Times New Roman" w:hAnsi="Times New Roman" w:cs="Times New Roman"/>
          <w:iCs/>
        </w:rPr>
        <w:t xml:space="preserve">»</w:t>
      </w:r>
      <w:r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</w:rPr>
        <w:t xml:space="preserve">согласно Правилам работы данной системы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65"/>
        <w:numPr>
          <w:ilvl w:val="0"/>
          <w:numId w:val="6"/>
        </w:numPr>
        <w:ind w:left="0" w:firstLine="0"/>
        <w:jc w:val="both"/>
        <w:spacing w:after="0"/>
        <w:tabs>
          <w:tab w:val="left" w:pos="284" w:leader="none"/>
        </w:tabs>
        <w:rPr>
          <w:b/>
          <w:bCs/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 xml:space="preserve">ВОПРОСЫ ЗАСЕДАНИЯ центральной конкурсной КОМИССИИ:</w:t>
      </w:r>
      <w:r>
        <w:rPr>
          <w:b/>
          <w:bCs/>
          <w:caps/>
          <w:sz w:val="22"/>
          <w:szCs w:val="22"/>
        </w:rPr>
      </w:r>
      <w:r>
        <w:rPr>
          <w:b/>
          <w:bCs/>
          <w:caps/>
          <w:sz w:val="22"/>
          <w:szCs w:val="22"/>
        </w:rPr>
      </w:r>
    </w:p>
    <w:p>
      <w:pPr>
        <w:pStyle w:val="857"/>
        <w:numPr>
          <w:ilvl w:val="0"/>
          <w:numId w:val="5"/>
        </w:numPr>
        <w:ind w:left="0" w:firstLine="0"/>
        <w:jc w:val="both"/>
        <w:spacing w:after="0" w:line="240" w:lineRule="auto"/>
        <w:tabs>
          <w:tab w:val="left" w:pos="426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 признании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запроса цен по результатам предварительного отбора </w:t>
      </w:r>
      <w:r>
        <w:rPr>
          <w:rFonts w:ascii="Times New Roman" w:hAnsi="Times New Roman" w:cs="Times New Roman"/>
        </w:rPr>
        <w:t xml:space="preserve">в электронной форме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несостоявшимся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57"/>
        <w:numPr>
          <w:ilvl w:val="0"/>
          <w:numId w:val="5"/>
        </w:numPr>
        <w:ind w:left="0" w:firstLine="0"/>
        <w:jc w:val="both"/>
        <w:spacing w:after="0" w:line="240" w:lineRule="auto"/>
        <w:tabs>
          <w:tab w:val="left" w:pos="426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 поручении </w:t>
      </w:r>
      <w:r>
        <w:rPr>
          <w:rFonts w:ascii="Times New Roman" w:hAnsi="Times New Roman" w:cs="Times New Roman"/>
        </w:rPr>
        <w:t xml:space="preserve">отделу </w:t>
      </w:r>
      <w:r>
        <w:rPr>
          <w:rFonts w:ascii="Times New Roman" w:hAnsi="Times New Roman" w:cs="Times New Roman"/>
        </w:rPr>
        <w:t xml:space="preserve">капитального строительства</w:t>
      </w:r>
      <w:r>
        <w:rPr>
          <w:rFonts w:ascii="Times New Roman" w:hAnsi="Times New Roman" w:cs="Times New Roman"/>
        </w:rPr>
        <w:t xml:space="preserve"> филиала АО «Россети Кубань» Юго-Западные электрические сети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проведения</w:t>
      </w:r>
      <w:r>
        <w:rPr>
          <w:rFonts w:ascii="Times New Roman" w:hAnsi="Times New Roman" w:cs="Times New Roman"/>
        </w:rPr>
        <w:t xml:space="preserve"> анализ</w:t>
      </w:r>
      <w:r>
        <w:rPr>
          <w:rFonts w:ascii="Times New Roman" w:hAnsi="Times New Roman" w:cs="Times New Roman"/>
        </w:rPr>
        <w:t xml:space="preserve">а</w:t>
      </w:r>
      <w:r>
        <w:rPr>
          <w:rFonts w:ascii="Times New Roman" w:hAnsi="Times New Roman" w:cs="Times New Roman"/>
        </w:rPr>
        <w:t xml:space="preserve"> документации о закупке (технической и коммерческой частей) и целесообразности объявления повторной закупки на тех же условиях либо целесообразности их изменений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numPr>
          <w:ilvl w:val="0"/>
          <w:numId w:val="6"/>
        </w:numPr>
        <w:ind w:left="0" w:firstLine="0"/>
        <w:jc w:val="both"/>
        <w:spacing w:after="0" w:line="240" w:lineRule="auto"/>
        <w:tabs>
          <w:tab w:val="left" w:pos="426" w:leader="none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ИНФОРМАЦИЯ О ЗАКУПКЕ.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numPr>
          <w:ilvl w:val="0"/>
          <w:numId w:val="7"/>
        </w:numPr>
        <w:ind w:left="0" w:firstLine="0"/>
        <w:jc w:val="both"/>
        <w:spacing w:after="0" w:line="240" w:lineRule="auto"/>
        <w:tabs>
          <w:tab w:val="left" w:pos="426" w:leader="none"/>
        </w:tabs>
        <w:rPr>
          <w:rFonts w:ascii="Times New Roman" w:hAnsi="Times New Roman" w:cs="Times New Roman"/>
          <w:bCs/>
          <w:iCs/>
          <w:sz w:val="22"/>
          <w:szCs w:val="22"/>
          <w:highlight w:val="white"/>
        </w:rPr>
      </w:pPr>
      <w:r>
        <w:rPr>
          <w:rFonts w:ascii="Times New Roman" w:hAnsi="Times New Roman" w:cs="Times New Roman"/>
          <w:bCs/>
        </w:rPr>
        <w:t xml:space="preserve">Извещение</w:t>
      </w:r>
      <w:r>
        <w:rPr>
          <w:rFonts w:ascii="Times New Roman" w:hAnsi="Times New Roman" w:cs="Times New Roman"/>
          <w:bCs/>
          <w:iCs/>
        </w:rPr>
        <w:t xml:space="preserve"> о проведении</w:t>
      </w:r>
      <w:r>
        <w:rPr>
          <w:rFonts w:ascii="Times New Roman" w:hAnsi="Times New Roman" w:eastAsia="Times New Roman" w:cs="Times New Roman"/>
          <w:bCs/>
          <w:iCs/>
          <w:sz w:val="22"/>
          <w:szCs w:val="22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highlight w:val="white"/>
        </w:rPr>
        <w:t xml:space="preserve">запроса цен по результатам предварительного отбора</w:t>
      </w:r>
      <w:r>
        <w:rPr>
          <w:rFonts w:ascii="Times New Roman" w:hAnsi="Times New Roman" w:eastAsia="Times New Roman" w:cs="Times New Roman"/>
          <w:sz w:val="22"/>
          <w:szCs w:val="22"/>
          <w:highlight w:val="white"/>
        </w:rPr>
        <w:t xml:space="preserve"> в электронной форме</w:t>
      </w:r>
      <w:r>
        <w:rPr>
          <w:rFonts w:ascii="Times New Roman" w:hAnsi="Times New Roman" w:eastAsia="Times New Roman" w:cs="Times New Roman"/>
          <w:bCs/>
          <w:iCs/>
          <w:sz w:val="22"/>
          <w:szCs w:val="22"/>
          <w:highlight w:val="white"/>
        </w:rPr>
        <w:t xml:space="preserve"> от 25</w:t>
      </w:r>
      <w:r>
        <w:rPr>
          <w:rFonts w:ascii="Times New Roman" w:hAnsi="Times New Roman" w:eastAsia="Times New Roman" w:cs="Times New Roman"/>
          <w:bCs/>
          <w:iCs/>
          <w:sz w:val="22"/>
          <w:szCs w:val="22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bCs/>
          <w:iCs/>
          <w:sz w:val="22"/>
          <w:szCs w:val="22"/>
          <w:highlight w:val="white"/>
        </w:rPr>
        <w:t xml:space="preserve">11</w:t>
      </w:r>
      <w:r>
        <w:rPr>
          <w:rFonts w:ascii="Times New Roman" w:hAnsi="Times New Roman" w:eastAsia="Times New Roman" w:cs="Times New Roman"/>
          <w:bCs/>
          <w:sz w:val="22"/>
          <w:szCs w:val="22"/>
          <w:highlight w:val="white"/>
        </w:rPr>
        <w:t xml:space="preserve">.202</w:t>
      </w:r>
      <w:r>
        <w:rPr>
          <w:rFonts w:ascii="Times New Roman" w:hAnsi="Times New Roman" w:eastAsia="Times New Roman" w:cs="Times New Roman"/>
          <w:bCs/>
          <w:sz w:val="22"/>
          <w:szCs w:val="22"/>
          <w:highlight w:val="white"/>
        </w:rPr>
        <w:t xml:space="preserve">5</w:t>
      </w:r>
      <w:r>
        <w:rPr>
          <w:rFonts w:ascii="Times New Roman" w:hAnsi="Times New Roman" w:eastAsia="Times New Roman" w:cs="Times New Roman"/>
          <w:bCs/>
          <w:sz w:val="22"/>
          <w:szCs w:val="22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iCs/>
          <w:sz w:val="22"/>
          <w:szCs w:val="22"/>
          <w:highlight w:val="white"/>
        </w:rPr>
        <w:t xml:space="preserve">№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white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white"/>
        </w:rPr>
        <w:t xml:space="preserve">32515446850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white"/>
        </w:rPr>
      </w:r>
      <w:r>
        <w:rPr>
          <w:rFonts w:ascii="Times New Roman" w:hAnsi="Times New Roman" w:eastAsia="Times New Roman" w:cs="Times New Roman"/>
          <w:bCs/>
          <w:iCs/>
          <w:sz w:val="22"/>
          <w:szCs w:val="22"/>
          <w:highlight w:val="white"/>
        </w:rPr>
        <w:t xml:space="preserve">, </w:t>
      </w:r>
      <w:r>
        <w:rPr>
          <w:rFonts w:ascii="Times New Roman" w:hAnsi="Times New Roman" w:eastAsia="Times New Roman" w:cs="Times New Roman"/>
          <w:bCs/>
          <w:iCs/>
          <w:sz w:val="22"/>
          <w:szCs w:val="22"/>
          <w:highlight w:val="white"/>
        </w:rPr>
        <w:t xml:space="preserve">опубликовано </w:t>
      </w:r>
      <w:r>
        <w:rPr>
          <w:rFonts w:ascii="Times New Roman" w:hAnsi="Times New Roman" w:eastAsia="Times New Roman" w:cs="Times New Roman"/>
          <w:bCs/>
          <w:iCs/>
          <w:sz w:val="22"/>
          <w:szCs w:val="22"/>
          <w:highlight w:val="white"/>
        </w:rPr>
        <w:t xml:space="preserve">на официальном сайте Единой информационной системы в сфере закупок (</w:t>
      </w:r>
      <w:hyperlink r:id="rId10" w:tooltip="http://www.zakupki.gov.ru" w:history="1">
        <w:r>
          <w:rPr>
            <w:rStyle w:val="856"/>
            <w:rFonts w:ascii="Times New Roman" w:hAnsi="Times New Roman" w:eastAsia="Times New Roman" w:cs="Times New Roman"/>
            <w:bCs/>
            <w:iCs/>
            <w:sz w:val="22"/>
            <w:szCs w:val="22"/>
            <w:highlight w:val="white"/>
          </w:rPr>
          <w:t xml:space="preserve">www.zakupki.gov.ru</w:t>
        </w:r>
      </w:hyperlink>
      <w:r>
        <w:rPr>
          <w:rFonts w:ascii="Times New Roman" w:hAnsi="Times New Roman" w:eastAsia="Times New Roman" w:cs="Times New Roman"/>
          <w:bCs/>
          <w:iCs/>
          <w:sz w:val="22"/>
          <w:szCs w:val="22"/>
          <w:highlight w:val="white"/>
        </w:rPr>
        <w:t xml:space="preserve">), с копией публикации  на Единой электронной торговой площадке </w:t>
      </w:r>
      <w:r>
        <w:rPr>
          <w:rFonts w:ascii="Times New Roman" w:hAnsi="Times New Roman" w:eastAsia="Times New Roman" w:cs="Times New Roman"/>
          <w:bCs/>
          <w:iCs/>
          <w:sz w:val="22"/>
          <w:szCs w:val="22"/>
          <w:highlight w:val="white"/>
        </w:rPr>
        <w:t xml:space="preserve">«</w:t>
      </w:r>
      <w:r>
        <w:rPr>
          <w:rFonts w:ascii="Times New Roman" w:hAnsi="Times New Roman" w:eastAsia="Times New Roman" w:cs="Times New Roman"/>
          <w:bCs/>
          <w:iCs/>
          <w:sz w:val="22"/>
          <w:szCs w:val="22"/>
          <w:highlight w:val="white"/>
        </w:rPr>
        <w:t xml:space="preserve">Росэлторг</w:t>
      </w:r>
      <w:r>
        <w:rPr>
          <w:rFonts w:ascii="Times New Roman" w:hAnsi="Times New Roman" w:eastAsia="Times New Roman" w:cs="Times New Roman"/>
          <w:bCs/>
          <w:iCs/>
          <w:sz w:val="22"/>
          <w:szCs w:val="22"/>
          <w:highlight w:val="white"/>
        </w:rPr>
        <w:t xml:space="preserve">»</w:t>
      </w:r>
      <w:r>
        <w:rPr>
          <w:rFonts w:ascii="Times New Roman" w:hAnsi="Times New Roman" w:eastAsia="Times New Roman" w:cs="Times New Roman"/>
          <w:bCs/>
          <w:iCs/>
          <w:sz w:val="22"/>
          <w:szCs w:val="22"/>
          <w:highlight w:val="white"/>
        </w:rPr>
        <w:t xml:space="preserve"> (</w:t>
      </w:r>
      <w:hyperlink r:id="rId11" w:tooltip="http://www.roseltorg.ru" w:history="1">
        <w:r>
          <w:rPr>
            <w:rStyle w:val="856"/>
            <w:rFonts w:ascii="Times New Roman" w:hAnsi="Times New Roman" w:eastAsia="Times New Roman" w:cs="Times New Roman"/>
            <w:bCs/>
            <w:iCs/>
            <w:sz w:val="22"/>
            <w:szCs w:val="22"/>
            <w:highlight w:val="white"/>
          </w:rPr>
          <w:t xml:space="preserve">www.</w:t>
        </w:r>
        <w:r>
          <w:rPr>
            <w:rStyle w:val="856"/>
            <w:rFonts w:ascii="Times New Roman" w:hAnsi="Times New Roman" w:eastAsia="Times New Roman" w:cs="Times New Roman"/>
            <w:sz w:val="22"/>
            <w:szCs w:val="22"/>
            <w:highlight w:val="white"/>
          </w:rPr>
          <w:t xml:space="preserve">roseltorg</w:t>
        </w:r>
        <w:r>
          <w:rPr>
            <w:rStyle w:val="856"/>
            <w:rFonts w:ascii="Times New Roman" w:hAnsi="Times New Roman" w:eastAsia="Times New Roman" w:cs="Times New Roman"/>
            <w:bCs/>
            <w:iCs/>
            <w:sz w:val="22"/>
            <w:szCs w:val="22"/>
            <w:highlight w:val="white"/>
          </w:rPr>
          <w:t xml:space="preserve">.ru</w:t>
        </w:r>
      </w:hyperlink>
      <w:r>
        <w:rPr>
          <w:rFonts w:ascii="Times New Roman" w:hAnsi="Times New Roman" w:eastAsia="Times New Roman" w:cs="Times New Roman"/>
          <w:bCs/>
          <w:iCs/>
          <w:sz w:val="22"/>
          <w:szCs w:val="22"/>
          <w:highlight w:val="white"/>
        </w:rPr>
        <w:t xml:space="preserve">)</w:t>
      </w:r>
      <w:r>
        <w:rPr>
          <w:rFonts w:ascii="Times New Roman" w:hAnsi="Times New Roman" w:eastAsia="Times New Roman" w:cs="Times New Roman"/>
          <w:bCs/>
          <w:iCs/>
          <w:sz w:val="22"/>
          <w:szCs w:val="22"/>
          <w:highlight w:val="white"/>
        </w:rPr>
        <w:t xml:space="preserve">.</w:t>
      </w:r>
      <w:r>
        <w:rPr>
          <w:rFonts w:ascii="Times New Roman" w:hAnsi="Times New Roman" w:cs="Times New Roman"/>
          <w:bCs/>
          <w:iCs/>
          <w:sz w:val="22"/>
          <w:szCs w:val="22"/>
          <w:highlight w:val="white"/>
        </w:rPr>
      </w:r>
      <w:r>
        <w:rPr>
          <w:rFonts w:ascii="Times New Roman" w:hAnsi="Times New Roman" w:cs="Times New Roman"/>
          <w:bCs/>
          <w:iCs/>
          <w:sz w:val="22"/>
          <w:szCs w:val="22"/>
          <w:highlight w:val="white"/>
        </w:rPr>
      </w:r>
    </w:p>
    <w:tbl>
      <w:tblPr>
        <w:tblW w:w="487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6282"/>
        <w:gridCol w:w="1983"/>
        <w:gridCol w:w="2177"/>
      </w:tblGrid>
      <w:tr>
        <w:tblPrEx/>
        <w:trPr>
          <w:cantSplit/>
          <w:jc w:val="center"/>
          <w:trHeight w:val="58"/>
        </w:trPr>
        <w:tc>
          <w:tcPr>
            <w:tcW w:w="628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white"/>
              </w:rPr>
              <w:t xml:space="preserve">Предмет договора</w:t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</w:p>
        </w:tc>
        <w:tc>
          <w:tcPr>
            <w:tcW w:w="198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white"/>
              </w:rPr>
              <w:t xml:space="preserve">Цена закупаемых товаров, работ, услуг</w:t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</w:p>
        </w:tc>
        <w:tc>
          <w:tcPr>
            <w:tcW w:w="217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white"/>
              </w:rPr>
              <w:t xml:space="preserve">Срок поставки/ выполнения работ/ оказания услуг</w:t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</w:p>
        </w:tc>
      </w:tr>
      <w:tr>
        <w:tblPrEx/>
        <w:trPr>
          <w:cantSplit/>
          <w:jc w:val="center"/>
          <w:trHeight w:val="399"/>
        </w:trPr>
        <w:tc>
          <w:tcPr>
            <w:tcW w:w="6282" w:type="dxa"/>
            <w:textDirection w:val="lrTb"/>
            <w:noWrap w:val="false"/>
          </w:tcPr>
          <w:p>
            <w:pPr>
              <w:jc w:val="both"/>
              <w:spacing w:after="0" w:line="240" w:lineRule="auto"/>
              <w:tabs>
                <w:tab w:val="left" w:pos="426" w:leader="none"/>
              </w:tabs>
              <w:rPr>
                <w:rFonts w:ascii="Times New Roman" w:hAnsi="Times New Roman" w:cs="Times New Roman"/>
                <w:bCs/>
                <w:iCs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white"/>
              </w:rPr>
              <w:t xml:space="preserve">Право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white"/>
              </w:rPr>
              <w:t xml:space="preserve">заключения договора на выполнение строительно-монтажных и пусконаладочных работ по объектам филиала               АО «Россети Кубань» Юго-Западные электрические сети: «Строительство и реконструкция 4 объектов для присоединения энергопринимающих устройств льготной категор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white"/>
              </w:rPr>
              <w:t xml:space="preserve">ии потребителей МО Анапа, МО Новороссийск»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bCs/>
                <w:iCs/>
                <w:sz w:val="22"/>
                <w:szCs w:val="22"/>
                <w:highlight w:val="white"/>
              </w:rPr>
            </w:r>
          </w:p>
        </w:tc>
        <w:tc>
          <w:tcPr>
            <w:tcW w:w="198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6 661 872,34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white"/>
              </w:rPr>
              <w:t xml:space="preserve">руб. с НДС</w:t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</w:p>
          <w:p>
            <w:pPr>
              <w:jc w:val="center"/>
              <w:spacing w:after="0" w:line="240" w:lineRule="auto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</w:p>
        </w:tc>
        <w:tc>
          <w:tcPr>
            <w:tcW w:w="217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white"/>
              </w:rPr>
              <w:t xml:space="preserve">в течение 120 календарных дней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white"/>
              </w:rPr>
              <w:t xml:space="preserve">с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white"/>
              </w:rPr>
              <w:t xml:space="preserve">момента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white"/>
              </w:rPr>
              <w:t xml:space="preserve">подписания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white"/>
              </w:rPr>
              <w:t xml:space="preserve"> договора</w:t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</w:p>
        </w:tc>
      </w:tr>
    </w:tbl>
    <w:p>
      <w:pPr>
        <w:numPr>
          <w:ilvl w:val="0"/>
          <w:numId w:val="7"/>
        </w:numPr>
        <w:ind w:left="0" w:firstLine="0"/>
        <w:jc w:val="both"/>
        <w:spacing w:after="0" w:line="240" w:lineRule="auto"/>
        <w:tabs>
          <w:tab w:val="left" w:pos="426" w:leader="none"/>
        </w:tabs>
        <w:rPr>
          <w:rFonts w:ascii="Times New Roman" w:hAnsi="Times New Roman" w:cs="Times New Roman"/>
          <w:sz w:val="22"/>
          <w:szCs w:val="22"/>
          <w:highlight w:val="white"/>
        </w:rPr>
      </w:pPr>
      <w:r>
        <w:rPr>
          <w:rFonts w:ascii="Times New Roman" w:hAnsi="Times New Roman" w:eastAsia="Times New Roman" w:cs="Times New Roman"/>
          <w:bCs/>
          <w:sz w:val="22"/>
          <w:szCs w:val="22"/>
          <w:highlight w:val="white"/>
        </w:rPr>
        <w:t xml:space="preserve">На момент окончания срока подачи заявок </w:t>
      </w:r>
      <w:r>
        <w:rPr>
          <w:rFonts w:ascii="Times New Roman" w:hAnsi="Times New Roman" w:eastAsia="Times New Roman" w:cs="Times New Roman"/>
          <w:bCs/>
          <w:sz w:val="22"/>
          <w:szCs w:val="22"/>
          <w:highlight w:val="white"/>
        </w:rPr>
        <w:t xml:space="preserve">28</w:t>
      </w:r>
      <w:r>
        <w:rPr>
          <w:rFonts w:ascii="Times New Roman" w:hAnsi="Times New Roman" w:eastAsia="Times New Roman" w:cs="Times New Roman"/>
          <w:bCs/>
          <w:sz w:val="22"/>
          <w:szCs w:val="22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bCs/>
          <w:sz w:val="22"/>
          <w:szCs w:val="22"/>
          <w:highlight w:val="white"/>
        </w:rPr>
        <w:t xml:space="preserve">11</w:t>
      </w:r>
      <w:r>
        <w:rPr>
          <w:rFonts w:ascii="Times New Roman" w:hAnsi="Times New Roman" w:eastAsia="Times New Roman" w:cs="Times New Roman"/>
          <w:bCs/>
          <w:sz w:val="22"/>
          <w:szCs w:val="22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bCs/>
          <w:sz w:val="22"/>
          <w:szCs w:val="22"/>
          <w:highlight w:val="white"/>
        </w:rPr>
        <w:t xml:space="preserve">202</w:t>
      </w:r>
      <w:r>
        <w:rPr>
          <w:rFonts w:ascii="Times New Roman" w:hAnsi="Times New Roman" w:eastAsia="Times New Roman" w:cs="Times New Roman"/>
          <w:bCs/>
          <w:sz w:val="22"/>
          <w:szCs w:val="22"/>
          <w:highlight w:val="white"/>
        </w:rPr>
        <w:t xml:space="preserve">5</w:t>
      </w:r>
      <w:r>
        <w:rPr>
          <w:rFonts w:ascii="Times New Roman" w:hAnsi="Times New Roman" w:eastAsia="Times New Roman" w:cs="Times New Roman"/>
          <w:bCs/>
          <w:sz w:val="22"/>
          <w:szCs w:val="22"/>
          <w:highlight w:val="white"/>
        </w:rPr>
        <w:t xml:space="preserve"> г. 09</w:t>
      </w:r>
      <w:r>
        <w:rPr>
          <w:rFonts w:ascii="Times New Roman" w:hAnsi="Times New Roman" w:eastAsia="Times New Roman" w:cs="Times New Roman"/>
          <w:bCs/>
          <w:sz w:val="22"/>
          <w:szCs w:val="22"/>
          <w:highlight w:val="white"/>
        </w:rPr>
        <w:t xml:space="preserve">:00 (время московское) на </w:t>
      </w:r>
      <w:r>
        <w:rPr>
          <w:rFonts w:ascii="Times New Roman" w:hAnsi="Times New Roman" w:eastAsia="Times New Roman" w:cs="Times New Roman"/>
          <w:bCs/>
          <w:sz w:val="22"/>
          <w:szCs w:val="22"/>
          <w:highlight w:val="white"/>
        </w:rPr>
        <w:t xml:space="preserve">Е</w:t>
      </w:r>
      <w:r>
        <w:rPr>
          <w:rFonts w:ascii="Times New Roman" w:hAnsi="Times New Roman" w:eastAsia="Times New Roman" w:cs="Times New Roman"/>
          <w:bCs/>
          <w:sz w:val="22"/>
          <w:szCs w:val="22"/>
          <w:highlight w:val="white"/>
        </w:rPr>
        <w:t xml:space="preserve">ЭТП  </w:t>
      </w:r>
      <w:r>
        <w:rPr>
          <w:rFonts w:ascii="Times New Roman" w:hAnsi="Times New Roman" w:eastAsia="Times New Roman" w:cs="Times New Roman"/>
          <w:bCs/>
          <w:sz w:val="22"/>
          <w:szCs w:val="22"/>
          <w:highlight w:val="white"/>
        </w:rPr>
        <w:t xml:space="preserve">«</w:t>
      </w:r>
      <w:r>
        <w:rPr>
          <w:rFonts w:ascii="Times New Roman" w:hAnsi="Times New Roman" w:eastAsia="Times New Roman" w:cs="Times New Roman"/>
          <w:iCs/>
          <w:sz w:val="22"/>
          <w:szCs w:val="22"/>
          <w:highlight w:val="white"/>
        </w:rPr>
        <w:t xml:space="preserve">Росэлторг</w:t>
      </w:r>
      <w:r>
        <w:rPr>
          <w:rFonts w:ascii="Times New Roman" w:hAnsi="Times New Roman" w:eastAsia="Times New Roman" w:cs="Times New Roman"/>
          <w:bCs/>
          <w:sz w:val="22"/>
          <w:szCs w:val="22"/>
          <w:highlight w:val="white"/>
        </w:rPr>
        <w:t xml:space="preserve">»</w:t>
      </w:r>
      <w:r>
        <w:rPr>
          <w:rFonts w:ascii="Times New Roman" w:hAnsi="Times New Roman" w:eastAsia="Times New Roman" w:cs="Times New Roman"/>
          <w:bCs/>
          <w:sz w:val="22"/>
          <w:szCs w:val="22"/>
          <w:highlight w:val="white"/>
        </w:rPr>
        <w:t xml:space="preserve"> не было подано ни одной заявки</w:t>
      </w:r>
      <w:r>
        <w:rPr>
          <w:rFonts w:ascii="Times New Roman" w:hAnsi="Times New Roman" w:eastAsia="Times New Roman" w:cs="Times New Roman"/>
          <w:bCs/>
          <w:sz w:val="22"/>
          <w:szCs w:val="22"/>
          <w:highlight w:val="white"/>
        </w:rPr>
        <w:t xml:space="preserve">.</w:t>
      </w:r>
      <w:r>
        <w:rPr>
          <w:rFonts w:ascii="Times New Roman" w:hAnsi="Times New Roman" w:cs="Times New Roman"/>
          <w:sz w:val="22"/>
          <w:szCs w:val="22"/>
          <w:highlight w:val="white"/>
        </w:rPr>
      </w:r>
      <w:r>
        <w:rPr>
          <w:rFonts w:ascii="Times New Roman" w:hAnsi="Times New Roman" w:cs="Times New Roman"/>
          <w:sz w:val="22"/>
          <w:szCs w:val="22"/>
          <w:highlight w:val="white"/>
        </w:rPr>
      </w:r>
    </w:p>
    <w:p>
      <w:pPr>
        <w:jc w:val="both"/>
        <w:spacing w:after="0" w:line="240" w:lineRule="auto"/>
        <w:tabs>
          <w:tab w:val="left" w:pos="426" w:leader="none"/>
        </w:tabs>
        <w:rPr>
          <w:rFonts w:ascii="Times New Roman" w:hAnsi="Times New Roman" w:cs="Times New Roman"/>
          <w:b/>
          <w:sz w:val="22"/>
          <w:szCs w:val="22"/>
          <w:highlight w:val="white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highlight w:val="white"/>
        </w:rPr>
        <w:t xml:space="preserve">III.</w:t>
      </w:r>
      <w:r>
        <w:rPr>
          <w:rFonts w:ascii="Times New Roman" w:hAnsi="Times New Roman" w:eastAsia="Times New Roman" w:cs="Times New Roman"/>
          <w:b/>
          <w:sz w:val="22"/>
          <w:szCs w:val="22"/>
          <w:highlight w:val="white"/>
        </w:rPr>
        <w:tab/>
        <w:t xml:space="preserve">РЕШЕНИЕ ЦЕНТРАЛЬНОЙ КОНКУРСНОЙ КОМИССИИ:</w:t>
      </w:r>
      <w:r>
        <w:rPr>
          <w:rFonts w:ascii="Times New Roman" w:hAnsi="Times New Roman" w:cs="Times New Roman"/>
          <w:b/>
          <w:sz w:val="22"/>
          <w:szCs w:val="22"/>
          <w:highlight w:val="white"/>
        </w:rPr>
      </w:r>
      <w:r>
        <w:rPr>
          <w:rFonts w:ascii="Times New Roman" w:hAnsi="Times New Roman" w:cs="Times New Roman"/>
          <w:b/>
          <w:sz w:val="22"/>
          <w:szCs w:val="22"/>
          <w:highlight w:val="white"/>
        </w:rPr>
      </w:r>
    </w:p>
    <w:p>
      <w:pPr>
        <w:pStyle w:val="858"/>
        <w:numPr>
          <w:ilvl w:val="0"/>
          <w:numId w:val="8"/>
        </w:numPr>
        <w:ind w:left="0" w:firstLine="0"/>
        <w:spacing w:before="0" w:after="0" w:line="240" w:lineRule="auto"/>
        <w:tabs>
          <w:tab w:val="left" w:pos="142" w:leader="none"/>
          <w:tab w:val="center" w:pos="426" w:leader="none"/>
        </w:tabs>
        <w:rPr>
          <w:rFonts w:ascii="Times New Roman" w:hAnsi="Times New Roman"/>
          <w:b/>
          <w:i/>
          <w:sz w:val="22"/>
          <w:szCs w:val="22"/>
          <w:lang w:val="ru-RU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white"/>
          <w:lang w:eastAsia="ru-RU"/>
        </w:rPr>
        <w:t xml:space="preserve">В связи с тем, что </w:t>
      </w:r>
      <w:r>
        <w:rPr>
          <w:rFonts w:ascii="Times New Roman" w:hAnsi="Times New Roman" w:eastAsia="Times New Roman" w:cs="Times New Roman"/>
          <w:sz w:val="22"/>
          <w:szCs w:val="22"/>
          <w:highlight w:val="white"/>
          <w:lang w:eastAsia="ru-RU"/>
        </w:rPr>
        <w:t xml:space="preserve">на </w:t>
      </w:r>
      <w:r>
        <w:rPr>
          <w:rFonts w:ascii="Times New Roman" w:hAnsi="Times New Roman" w:eastAsia="Times New Roman" w:cs="Times New Roman"/>
          <w:sz w:val="22"/>
          <w:szCs w:val="22"/>
          <w:highlight w:val="white"/>
        </w:rPr>
        <w:t xml:space="preserve">запрос цен по результата</w:t>
      </w:r>
      <w:r>
        <w:rPr>
          <w:rFonts w:ascii="Times New Roman" w:hAnsi="Times New Roman"/>
          <w:sz w:val="22"/>
          <w:szCs w:val="22"/>
        </w:rPr>
        <w:t xml:space="preserve">м предварительного отбора</w:t>
      </w:r>
      <w:r>
        <w:rPr>
          <w:rFonts w:ascii="Times New Roman" w:hAnsi="Times New Roman"/>
          <w:sz w:val="22"/>
          <w:szCs w:val="22"/>
        </w:rPr>
        <w:t xml:space="preserve"> в электронной форме </w:t>
      </w:r>
      <w:r>
        <w:rPr>
          <w:rFonts w:ascii="Times New Roman" w:hAnsi="Times New Roman"/>
          <w:sz w:val="22"/>
          <w:szCs w:val="22"/>
          <w:lang w:eastAsia="ru-RU"/>
        </w:rPr>
        <w:t xml:space="preserve">не было представлено ни одно</w:t>
      </w:r>
      <w:r>
        <w:rPr>
          <w:rFonts w:ascii="Times New Roman" w:hAnsi="Times New Roman"/>
          <w:sz w:val="22"/>
          <w:szCs w:val="22"/>
          <w:lang w:eastAsia="ru-RU"/>
        </w:rPr>
        <w:t xml:space="preserve">й</w:t>
      </w:r>
      <w:r>
        <w:rPr>
          <w:rFonts w:ascii="Times New Roman" w:hAnsi="Times New Roman"/>
          <w:sz w:val="22"/>
          <w:szCs w:val="22"/>
          <w:lang w:eastAsia="ru-RU"/>
        </w:rPr>
        <w:t xml:space="preserve"> </w:t>
      </w:r>
      <w:r>
        <w:rPr>
          <w:rFonts w:ascii="Times New Roman" w:hAnsi="Times New Roman"/>
          <w:sz w:val="22"/>
          <w:szCs w:val="22"/>
          <w:lang w:eastAsia="ru-RU"/>
        </w:rPr>
        <w:t xml:space="preserve">заявки</w:t>
      </w:r>
      <w:r>
        <w:rPr>
          <w:rFonts w:ascii="Times New Roman" w:hAnsi="Times New Roman"/>
          <w:sz w:val="22"/>
          <w:szCs w:val="22"/>
          <w:lang w:eastAsia="ru-RU"/>
        </w:rPr>
        <w:t xml:space="preserve">, руководствуясь п.</w:t>
      </w:r>
      <w:r>
        <w:rPr>
          <w:rFonts w:ascii="Times New Roman" w:hAnsi="Times New Roman"/>
          <w:sz w:val="22"/>
          <w:szCs w:val="22"/>
          <w:lang w:val="ru-RU" w:eastAsia="ru-RU"/>
        </w:rPr>
        <w:t xml:space="preserve"> </w:t>
      </w:r>
      <w:r>
        <w:rPr>
          <w:rFonts w:ascii="Times New Roman" w:hAnsi="Times New Roman"/>
          <w:sz w:val="22"/>
          <w:szCs w:val="22"/>
          <w:lang w:eastAsia="ru-RU"/>
        </w:rPr>
        <w:t xml:space="preserve">7.5.1</w:t>
      </w:r>
      <w:r>
        <w:rPr>
          <w:rFonts w:ascii="Times New Roman" w:hAnsi="Times New Roman"/>
          <w:sz w:val="22"/>
          <w:szCs w:val="22"/>
          <w:lang w:val="ru-RU" w:eastAsia="ru-RU"/>
        </w:rPr>
        <w:t xml:space="preserve"> </w:t>
      </w:r>
      <w:r>
        <w:rPr>
          <w:rFonts w:ascii="Times New Roman" w:hAnsi="Times New Roman"/>
          <w:sz w:val="22"/>
          <w:szCs w:val="22"/>
          <w:lang w:val="ru-RU" w:eastAsia="ru-RU"/>
        </w:rPr>
        <w:t xml:space="preserve">(</w:t>
      </w:r>
      <w:r>
        <w:rPr>
          <w:rFonts w:ascii="Times New Roman" w:hAnsi="Times New Roman"/>
          <w:sz w:val="22"/>
          <w:szCs w:val="22"/>
          <w:lang w:eastAsia="ru-RU"/>
        </w:rPr>
        <w:t xml:space="preserve">а) </w:t>
      </w:r>
      <w:r>
        <w:rPr>
          <w:rFonts w:ascii="Times New Roman" w:hAnsi="Times New Roman"/>
          <w:sz w:val="22"/>
          <w:szCs w:val="22"/>
        </w:rPr>
        <w:t xml:space="preserve">Единого Стандарта закупок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ПАО </w:t>
      </w:r>
      <w:r>
        <w:rPr>
          <w:rFonts w:ascii="Times New Roman" w:hAnsi="Times New Roman"/>
          <w:sz w:val="22"/>
          <w:szCs w:val="22"/>
          <w:lang w:val="ru-RU"/>
        </w:rPr>
        <w:t xml:space="preserve">»</w:t>
      </w:r>
      <w:r>
        <w:rPr>
          <w:rFonts w:ascii="Times New Roman" w:hAnsi="Times New Roman"/>
          <w:sz w:val="22"/>
          <w:szCs w:val="22"/>
        </w:rPr>
        <w:t xml:space="preserve">Россети</w:t>
      </w:r>
      <w:r>
        <w:rPr>
          <w:rFonts w:ascii="Times New Roman" w:hAnsi="Times New Roman"/>
          <w:sz w:val="22"/>
          <w:szCs w:val="22"/>
        </w:rPr>
        <w:t xml:space="preserve">»</w:t>
      </w:r>
      <w:r>
        <w:rPr>
          <w:rFonts w:ascii="Times New Roman" w:hAnsi="Times New Roman"/>
          <w:sz w:val="22"/>
          <w:szCs w:val="22"/>
        </w:rPr>
        <w:t xml:space="preserve">,</w:t>
      </w:r>
      <w:r>
        <w:rPr>
          <w:rFonts w:ascii="Times New Roman" w:hAnsi="Times New Roman"/>
          <w:sz w:val="22"/>
          <w:szCs w:val="22"/>
        </w:rPr>
        <w:t xml:space="preserve"> Центральной конкурсной комиссии предлагается признать </w:t>
      </w:r>
      <w:r>
        <w:rPr>
          <w:rFonts w:ascii="Times New Roman" w:hAnsi="Times New Roman"/>
          <w:sz w:val="22"/>
          <w:szCs w:val="22"/>
        </w:rPr>
        <w:t xml:space="preserve">запрос цен по результатам предварительного отбора</w:t>
      </w:r>
      <w:r>
        <w:rPr>
          <w:rFonts w:ascii="Times New Roman" w:hAnsi="Times New Roman"/>
          <w:sz w:val="22"/>
          <w:szCs w:val="22"/>
        </w:rPr>
        <w:t xml:space="preserve"> в электронной форме </w:t>
      </w:r>
      <w:r>
        <w:rPr>
          <w:rFonts w:ascii="Times New Roman" w:hAnsi="Times New Roman"/>
          <w:sz w:val="22"/>
          <w:szCs w:val="22"/>
          <w:lang w:val="ru-RU"/>
        </w:rPr>
        <w:t xml:space="preserve">- </w:t>
      </w:r>
      <w:r>
        <w:rPr>
          <w:rFonts w:ascii="Times New Roman" w:hAnsi="Times New Roman"/>
          <w:sz w:val="22"/>
          <w:szCs w:val="22"/>
        </w:rPr>
        <w:t xml:space="preserve">несостоявшимся.</w:t>
      </w:r>
      <w:r>
        <w:rPr>
          <w:rFonts w:ascii="Times New Roman" w:hAnsi="Times New Roman"/>
          <w:b/>
          <w:i/>
          <w:sz w:val="22"/>
          <w:szCs w:val="22"/>
          <w:lang w:val="ru-RU"/>
        </w:rPr>
      </w:r>
      <w:r>
        <w:rPr>
          <w:rFonts w:ascii="Times New Roman" w:hAnsi="Times New Roman"/>
          <w:b/>
          <w:i/>
          <w:sz w:val="22"/>
          <w:szCs w:val="22"/>
          <w:lang w:val="ru-RU"/>
        </w:rPr>
      </w:r>
    </w:p>
    <w:p>
      <w:pPr>
        <w:jc w:val="both"/>
        <w:spacing w:after="0" w:line="240" w:lineRule="auto"/>
        <w:tabs>
          <w:tab w:val="left" w:pos="142" w:leader="none"/>
          <w:tab w:val="left" w:pos="426" w:leader="none"/>
        </w:tabs>
        <w:rPr>
          <w:rFonts w:ascii="Times New Roman" w:hAnsi="Times New Roman" w:cs="Times New Roman"/>
          <w:b/>
          <w:i/>
          <w:color w:val="ff0000"/>
        </w:rPr>
      </w:pPr>
      <w:r>
        <w:rPr>
          <w:rFonts w:ascii="Times New Roman" w:hAnsi="Times New Roman" w:cs="Times New Roman"/>
          <w:b/>
          <w:i/>
          <w:color w:val="000000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color w:val="ff0000"/>
        </w:rPr>
      </w:r>
      <w:r>
        <w:rPr>
          <w:rFonts w:ascii="Times New Roman" w:hAnsi="Times New Roman" w:cs="Times New Roman"/>
          <w:b/>
          <w:i/>
          <w:color w:val="ff0000"/>
        </w:rPr>
      </w:r>
    </w:p>
    <w:p>
      <w:pPr>
        <w:jc w:val="both"/>
        <w:spacing w:after="0" w:line="240" w:lineRule="auto"/>
        <w:tabs>
          <w:tab w:val="left" w:pos="142" w:leader="none"/>
          <w:tab w:val="left" w:pos="426" w:leader="none"/>
          <w:tab w:val="left" w:pos="567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 – 7</w:t>
      </w:r>
      <w:r>
        <w:rPr>
          <w:rFonts w:ascii="Times New Roman" w:hAnsi="Times New Roman" w:cs="Times New Roman"/>
        </w:rPr>
        <w:t xml:space="preserve"> голоса (-ов)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both"/>
        <w:spacing w:after="0" w:line="240" w:lineRule="auto"/>
        <w:tabs>
          <w:tab w:val="left" w:pos="142" w:leader="none"/>
          <w:tab w:val="left" w:pos="426" w:leader="none"/>
          <w:tab w:val="left" w:pos="567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Против – 0 голоса (-ов)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both"/>
        <w:spacing w:after="0" w:line="240" w:lineRule="auto"/>
        <w:tabs>
          <w:tab w:val="left" w:pos="142" w:leader="none"/>
          <w:tab w:val="left" w:pos="426" w:leader="none"/>
          <w:tab w:val="left" w:pos="567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Воздержался – 0 голоса (-ов)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58"/>
        <w:numPr>
          <w:ilvl w:val="0"/>
          <w:numId w:val="8"/>
        </w:numPr>
        <w:ind w:left="0" w:firstLine="0"/>
        <w:spacing w:before="0" w:after="0" w:line="240" w:lineRule="auto"/>
        <w:tabs>
          <w:tab w:val="left" w:pos="142" w:leader="none"/>
          <w:tab w:val="center" w:pos="426" w:leader="none"/>
        </w:tabs>
        <w:rPr>
          <w:rFonts w:ascii="Times New Roman" w:hAnsi="Times New Roman"/>
          <w:sz w:val="22"/>
          <w:szCs w:val="22"/>
          <w:lang w:eastAsia="ru-RU"/>
        </w:rPr>
      </w:pPr>
      <w:r>
        <w:rPr>
          <w:rFonts w:ascii="Times New Roman" w:hAnsi="Times New Roman"/>
          <w:sz w:val="22"/>
          <w:szCs w:val="22"/>
          <w:lang w:eastAsia="ru-RU"/>
        </w:rPr>
        <w:t xml:space="preserve">Поручить</w:t>
      </w:r>
      <w:r>
        <w:rPr>
          <w:rFonts w:ascii="Times New Roman" w:hAnsi="Times New Roman"/>
          <w:bCs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отделу </w:t>
      </w:r>
      <w:r>
        <w:rPr>
          <w:rFonts w:ascii="Times New Roman" w:hAnsi="Times New Roman"/>
          <w:sz w:val="22"/>
          <w:szCs w:val="22"/>
          <w:lang w:val="ru-RU"/>
        </w:rPr>
        <w:t xml:space="preserve">капитального строительства</w:t>
      </w:r>
      <w:r>
        <w:rPr>
          <w:rFonts w:ascii="Times New Roman" w:hAnsi="Times New Roman"/>
          <w:sz w:val="22"/>
          <w:szCs w:val="22"/>
        </w:rPr>
        <w:t xml:space="preserve"> филиала АО «Россети Кубань» Юго-Западные электрические сети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провести анализ документации о закупке (технической и коммерческой частей) и целесообразности объявления повторной закупки на тех же условиях либо целесообразности их изменений</w:t>
      </w:r>
      <w:r>
        <w:rPr>
          <w:rFonts w:ascii="Times New Roman" w:hAnsi="Times New Roman"/>
          <w:bCs/>
          <w:sz w:val="22"/>
          <w:szCs w:val="22"/>
        </w:rPr>
        <w:t xml:space="preserve">.</w:t>
      </w:r>
      <w:r>
        <w:rPr>
          <w:rFonts w:ascii="Times New Roman" w:hAnsi="Times New Roman"/>
          <w:sz w:val="22"/>
          <w:szCs w:val="22"/>
          <w:lang w:eastAsia="ru-RU"/>
        </w:rPr>
      </w:r>
      <w:r>
        <w:rPr>
          <w:rFonts w:ascii="Times New Roman" w:hAnsi="Times New Roman"/>
          <w:sz w:val="22"/>
          <w:szCs w:val="22"/>
          <w:lang w:eastAsia="ru-RU"/>
        </w:rPr>
      </w:r>
    </w:p>
    <w:p>
      <w:pPr>
        <w:pStyle w:val="857"/>
        <w:ind w:left="0"/>
        <w:jc w:val="both"/>
        <w:spacing w:after="0" w:line="240" w:lineRule="auto"/>
        <w:tabs>
          <w:tab w:val="left" w:pos="142" w:leader="none"/>
          <w:tab w:val="left" w:pos="426" w:leader="none"/>
        </w:tabs>
        <w:rPr>
          <w:rFonts w:ascii="Times New Roman" w:hAnsi="Times New Roman" w:cs="Times New Roman"/>
          <w:b/>
          <w:i/>
          <w:color w:val="ff0000"/>
        </w:rPr>
      </w:pPr>
      <w:r>
        <w:rPr>
          <w:rFonts w:ascii="Times New Roman" w:hAnsi="Times New Roman" w:cs="Times New Roman"/>
          <w:b/>
          <w:i/>
          <w:color w:val="000000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color w:val="ff0000"/>
        </w:rPr>
      </w:r>
      <w:r>
        <w:rPr>
          <w:rFonts w:ascii="Times New Roman" w:hAnsi="Times New Roman" w:cs="Times New Roman"/>
          <w:b/>
          <w:i/>
          <w:color w:val="ff0000"/>
        </w:rPr>
      </w:r>
    </w:p>
    <w:p>
      <w:pPr>
        <w:jc w:val="both"/>
        <w:spacing w:after="0" w:line="240" w:lineRule="auto"/>
        <w:tabs>
          <w:tab w:val="left" w:pos="284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 – 7</w:t>
      </w:r>
      <w:bookmarkStart w:id="4" w:name="_GoBack"/>
      <w:r/>
      <w:bookmarkEnd w:id="4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голоса (-ов)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both"/>
        <w:spacing w:after="0" w:line="240" w:lineRule="auto"/>
        <w:tabs>
          <w:tab w:val="left" w:pos="284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Против – 0 голоса (-ов)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both"/>
        <w:spacing w:after="0" w:line="240" w:lineRule="auto"/>
        <w:tabs>
          <w:tab w:val="left" w:pos="284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Воздержался – 0 голоса (-ов)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both"/>
        <w:spacing w:after="0" w:line="240" w:lineRule="auto"/>
        <w:tabs>
          <w:tab w:val="left" w:pos="284" w:leader="none"/>
        </w:tabs>
        <w:rPr>
          <w:rFonts w:ascii="Times New Roman" w:hAnsi="Times New Roman" w:cs="Times New Roman"/>
          <w:bCs/>
          <w:i/>
          <w:highlight w:val="none"/>
        </w:rPr>
      </w:pPr>
      <w:r>
        <w:rPr>
          <w:rFonts w:ascii="Times New Roman" w:hAnsi="Times New Roman" w:cs="Times New Roman"/>
          <w:b/>
          <w:i/>
        </w:rPr>
        <w:t xml:space="preserve">Решение по вопросу принято.</w:t>
      </w:r>
      <w:r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bCs/>
          <w:i/>
          <w:highlight w:val="none"/>
        </w:rPr>
      </w:r>
      <w:r>
        <w:rPr>
          <w:rFonts w:ascii="Times New Roman" w:hAnsi="Times New Roman" w:cs="Times New Roman"/>
          <w:bCs/>
          <w:i/>
          <w:highlight w:val="none"/>
        </w:rPr>
      </w:r>
    </w:p>
    <w:p>
      <w:pPr>
        <w:jc w:val="both"/>
        <w:spacing w:after="0" w:line="240" w:lineRule="auto"/>
        <w:tabs>
          <w:tab w:val="left" w:pos="284" w:leader="none"/>
        </w:tabs>
        <w:rPr>
          <w:rFonts w:ascii="Times New Roman" w:hAnsi="Times New Roman" w:cs="Times New Roman"/>
          <w:bCs/>
          <w:i/>
        </w:rPr>
      </w:pPr>
      <w:r>
        <w:rPr>
          <w:rFonts w:ascii="Times New Roman" w:hAnsi="Times New Roman" w:cs="Times New Roman"/>
          <w:i/>
          <w:highlight w:val="none"/>
        </w:rPr>
      </w:r>
      <w:r>
        <w:rPr>
          <w:rFonts w:ascii="Times New Roman" w:hAnsi="Times New Roman" w:cs="Times New Roman"/>
          <w:i/>
          <w:highlight w:val="none"/>
        </w:rPr>
      </w:r>
      <w:r>
        <w:rPr>
          <w:rFonts w:ascii="Times New Roman" w:hAnsi="Times New Roman" w:cs="Times New Roman"/>
          <w:bCs/>
          <w:i/>
        </w:rPr>
      </w:r>
    </w:p>
    <w:tbl>
      <w:tblPr>
        <w:tblW w:w="4285" w:type="pct"/>
        <w:tblCellSpacing w:w="15" w:type="dxa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5919"/>
        <w:gridCol w:w="3174"/>
      </w:tblGrid>
      <w:tr>
        <w:tblPrEx/>
        <w:trPr>
          <w:tblCellSpacing w:w="15" w:type="dxa"/>
          <w:trHeight w:val="427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 xml:space="preserve">редседател</w:t>
            </w: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 xml:space="preserve">ь</w:t>
            </w: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 xml:space="preserve"> ЦКК </w:t>
            </w: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В.А. Коржаневский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</w:tr>
      <w:tr>
        <w:tblPrEx/>
        <w:trPr>
          <w:tblCellSpacing w:w="15" w:type="dxa"/>
          <w:trHeight w:val="224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Ответственный секретарь ЦКК (без права голоса): 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Д.Л. Зерова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                  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</w:r>
      <w:r>
        <w:rPr>
          <w:rFonts w:ascii="Times New Roman" w:hAnsi="Times New Roman" w:eastAsia="Times New Roman" w:cs="Times New Roman"/>
          <w:lang w:eastAsia="ru-RU"/>
        </w:rPr>
      </w:r>
      <w:r>
        <w:rPr>
          <w:rFonts w:ascii="Times New Roman" w:hAnsi="Times New Roman" w:eastAsia="Times New Roman" w:cs="Times New Roman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</w:r>
      <w:r>
        <w:rPr>
          <w:rFonts w:ascii="Times New Roman" w:hAnsi="Times New Roman" w:eastAsia="Times New Roman" w:cs="Times New Roman"/>
          <w:lang w:eastAsia="ru-RU"/>
        </w:rPr>
      </w:r>
      <w:r>
        <w:rPr>
          <w:rFonts w:ascii="Times New Roman" w:hAnsi="Times New Roman" w:eastAsia="Times New Roman" w:cs="Times New Roman"/>
          <w:lang w:eastAsia="ru-RU"/>
        </w:rPr>
      </w:r>
    </w:p>
    <w:p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eastAsia="ru-RU"/>
        </w:rPr>
        <w:t xml:space="preserve">Е.В. Бармикова</w:t>
      </w:r>
      <w:r>
        <w:rPr>
          <w:rFonts w:ascii="Times New Roman" w:hAnsi="Times New Roman" w:eastAsia="Times New Roman" w:cs="Times New Roman"/>
          <w:lang w:eastAsia="ru-RU"/>
        </w:rPr>
        <w:t xml:space="preserve">, 8 (861) 212-2</w:t>
      </w:r>
      <w:r>
        <w:rPr>
          <w:rFonts w:ascii="Times New Roman" w:hAnsi="Times New Roman" w:eastAsia="Times New Roman" w:cs="Times New Roman"/>
          <w:lang w:eastAsia="ru-RU"/>
        </w:rPr>
        <w:t xml:space="preserve">5</w:t>
      </w:r>
      <w:r>
        <w:rPr>
          <w:rFonts w:ascii="Times New Roman" w:hAnsi="Times New Roman" w:eastAsia="Times New Roman" w:cs="Times New Roman"/>
          <w:lang w:eastAsia="ru-RU"/>
        </w:rPr>
        <w:t xml:space="preserve">-6</w:t>
      </w:r>
      <w:r>
        <w:rPr>
          <w:rFonts w:ascii="Times New Roman" w:hAnsi="Times New Roman" w:eastAsia="Times New Roman" w:cs="Times New Roman"/>
          <w:lang w:eastAsia="ru-RU"/>
        </w:rPr>
        <w:t xml:space="preserve">6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w="11906" w:h="16838" w:orient="portrait"/>
      <w:pgMar w:top="426" w:right="707" w:bottom="284" w:left="425" w:header="709" w:footer="402" w:gutter="284"/>
      <w:pgNumType w:start="1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alibri">
    <w:panose1 w:val="020F05020202040302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3272" w:hanging="72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85" w:hanging="360"/>
      </w:pPr>
      <w:rPr>
        <w:rFonts w:hint="default" w:ascii="Symbol" w:hAnsi="Symbol"/>
        <w:color w:val="auto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5"/>
  </w:num>
  <w:num w:numId="5">
    <w:abstractNumId w:val="6"/>
  </w:num>
  <w:num w:numId="6">
    <w:abstractNumId w:val="1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0">
    <w:name w:val="Heading 1 Char"/>
    <w:basedOn w:val="842"/>
    <w:link w:val="840"/>
    <w:uiPriority w:val="9"/>
    <w:rPr>
      <w:rFonts w:ascii="Arial" w:hAnsi="Arial" w:eastAsia="Arial" w:cs="Arial"/>
      <w:sz w:val="40"/>
      <w:szCs w:val="40"/>
    </w:rPr>
  </w:style>
  <w:style w:type="character" w:styleId="671">
    <w:name w:val="Heading 2 Char"/>
    <w:basedOn w:val="842"/>
    <w:link w:val="841"/>
    <w:uiPriority w:val="9"/>
    <w:rPr>
      <w:rFonts w:ascii="Arial" w:hAnsi="Arial" w:eastAsia="Arial" w:cs="Arial"/>
      <w:sz w:val="34"/>
    </w:rPr>
  </w:style>
  <w:style w:type="paragraph" w:styleId="672">
    <w:name w:val="Heading 3"/>
    <w:basedOn w:val="839"/>
    <w:next w:val="839"/>
    <w:link w:val="67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73">
    <w:name w:val="Heading 3 Char"/>
    <w:basedOn w:val="842"/>
    <w:link w:val="672"/>
    <w:uiPriority w:val="9"/>
    <w:rPr>
      <w:rFonts w:ascii="Arial" w:hAnsi="Arial" w:eastAsia="Arial" w:cs="Arial"/>
      <w:sz w:val="30"/>
      <w:szCs w:val="30"/>
    </w:rPr>
  </w:style>
  <w:style w:type="paragraph" w:styleId="674">
    <w:name w:val="Heading 4"/>
    <w:basedOn w:val="839"/>
    <w:next w:val="839"/>
    <w:link w:val="67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75">
    <w:name w:val="Heading 4 Char"/>
    <w:basedOn w:val="842"/>
    <w:link w:val="674"/>
    <w:uiPriority w:val="9"/>
    <w:rPr>
      <w:rFonts w:ascii="Arial" w:hAnsi="Arial" w:eastAsia="Arial" w:cs="Arial"/>
      <w:b/>
      <w:bCs/>
      <w:sz w:val="26"/>
      <w:szCs w:val="26"/>
    </w:rPr>
  </w:style>
  <w:style w:type="paragraph" w:styleId="676">
    <w:name w:val="Heading 5"/>
    <w:basedOn w:val="839"/>
    <w:next w:val="839"/>
    <w:link w:val="67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77">
    <w:name w:val="Heading 5 Char"/>
    <w:basedOn w:val="842"/>
    <w:link w:val="676"/>
    <w:uiPriority w:val="9"/>
    <w:rPr>
      <w:rFonts w:ascii="Arial" w:hAnsi="Arial" w:eastAsia="Arial" w:cs="Arial"/>
      <w:b/>
      <w:bCs/>
      <w:sz w:val="24"/>
      <w:szCs w:val="24"/>
    </w:rPr>
  </w:style>
  <w:style w:type="paragraph" w:styleId="678">
    <w:name w:val="Heading 6"/>
    <w:basedOn w:val="839"/>
    <w:next w:val="839"/>
    <w:link w:val="67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79">
    <w:name w:val="Heading 6 Char"/>
    <w:basedOn w:val="842"/>
    <w:link w:val="678"/>
    <w:uiPriority w:val="9"/>
    <w:rPr>
      <w:rFonts w:ascii="Arial" w:hAnsi="Arial" w:eastAsia="Arial" w:cs="Arial"/>
      <w:b/>
      <w:bCs/>
      <w:sz w:val="22"/>
      <w:szCs w:val="22"/>
    </w:rPr>
  </w:style>
  <w:style w:type="paragraph" w:styleId="680">
    <w:name w:val="Heading 7"/>
    <w:basedOn w:val="839"/>
    <w:next w:val="839"/>
    <w:link w:val="68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81">
    <w:name w:val="Heading 7 Char"/>
    <w:basedOn w:val="842"/>
    <w:link w:val="68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82">
    <w:name w:val="Heading 8"/>
    <w:basedOn w:val="839"/>
    <w:next w:val="839"/>
    <w:link w:val="68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83">
    <w:name w:val="Heading 8 Char"/>
    <w:basedOn w:val="842"/>
    <w:link w:val="682"/>
    <w:uiPriority w:val="9"/>
    <w:rPr>
      <w:rFonts w:ascii="Arial" w:hAnsi="Arial" w:eastAsia="Arial" w:cs="Arial"/>
      <w:i/>
      <w:iCs/>
      <w:sz w:val="22"/>
      <w:szCs w:val="22"/>
    </w:rPr>
  </w:style>
  <w:style w:type="paragraph" w:styleId="684">
    <w:name w:val="Heading 9"/>
    <w:basedOn w:val="839"/>
    <w:next w:val="839"/>
    <w:link w:val="68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5">
    <w:name w:val="Heading 9 Char"/>
    <w:basedOn w:val="842"/>
    <w:link w:val="684"/>
    <w:uiPriority w:val="9"/>
    <w:rPr>
      <w:rFonts w:ascii="Arial" w:hAnsi="Arial" w:eastAsia="Arial" w:cs="Arial"/>
      <w:i/>
      <w:iCs/>
      <w:sz w:val="21"/>
      <w:szCs w:val="21"/>
    </w:rPr>
  </w:style>
  <w:style w:type="paragraph" w:styleId="686">
    <w:name w:val="Title"/>
    <w:basedOn w:val="839"/>
    <w:next w:val="839"/>
    <w:link w:val="68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7">
    <w:name w:val="Title Char"/>
    <w:basedOn w:val="842"/>
    <w:link w:val="686"/>
    <w:uiPriority w:val="10"/>
    <w:rPr>
      <w:sz w:val="48"/>
      <w:szCs w:val="48"/>
    </w:rPr>
  </w:style>
  <w:style w:type="paragraph" w:styleId="688">
    <w:name w:val="Subtitle"/>
    <w:basedOn w:val="839"/>
    <w:next w:val="839"/>
    <w:link w:val="689"/>
    <w:uiPriority w:val="11"/>
    <w:qFormat/>
    <w:pPr>
      <w:spacing w:before="200" w:after="200"/>
    </w:pPr>
    <w:rPr>
      <w:sz w:val="24"/>
      <w:szCs w:val="24"/>
    </w:rPr>
  </w:style>
  <w:style w:type="character" w:styleId="689">
    <w:name w:val="Subtitle Char"/>
    <w:basedOn w:val="842"/>
    <w:link w:val="688"/>
    <w:uiPriority w:val="11"/>
    <w:rPr>
      <w:sz w:val="24"/>
      <w:szCs w:val="24"/>
    </w:rPr>
  </w:style>
  <w:style w:type="paragraph" w:styleId="690">
    <w:name w:val="Quote"/>
    <w:basedOn w:val="839"/>
    <w:next w:val="839"/>
    <w:link w:val="691"/>
    <w:uiPriority w:val="29"/>
    <w:qFormat/>
    <w:pPr>
      <w:ind w:left="720" w:right="720"/>
    </w:pPr>
    <w:rPr>
      <w:i/>
    </w:rPr>
  </w:style>
  <w:style w:type="character" w:styleId="691">
    <w:name w:val="Quote Char"/>
    <w:link w:val="690"/>
    <w:uiPriority w:val="29"/>
    <w:rPr>
      <w:i/>
    </w:rPr>
  </w:style>
  <w:style w:type="paragraph" w:styleId="692">
    <w:name w:val="Intense Quote"/>
    <w:basedOn w:val="839"/>
    <w:next w:val="839"/>
    <w:link w:val="69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3">
    <w:name w:val="Intense Quote Char"/>
    <w:link w:val="692"/>
    <w:uiPriority w:val="30"/>
    <w:rPr>
      <w:i/>
    </w:rPr>
  </w:style>
  <w:style w:type="character" w:styleId="694">
    <w:name w:val="Header Char"/>
    <w:basedOn w:val="842"/>
    <w:link w:val="850"/>
    <w:uiPriority w:val="99"/>
  </w:style>
  <w:style w:type="character" w:styleId="695">
    <w:name w:val="Footer Char"/>
    <w:basedOn w:val="842"/>
    <w:link w:val="852"/>
    <w:uiPriority w:val="99"/>
  </w:style>
  <w:style w:type="paragraph" w:styleId="696">
    <w:name w:val="Caption"/>
    <w:basedOn w:val="839"/>
    <w:next w:val="839"/>
    <w:link w:val="69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7">
    <w:name w:val="Caption Char"/>
    <w:basedOn w:val="842"/>
    <w:link w:val="696"/>
    <w:uiPriority w:val="35"/>
    <w:rPr>
      <w:b/>
      <w:bCs/>
      <w:color w:val="4f81bd" w:themeColor="accent1"/>
      <w:sz w:val="18"/>
      <w:szCs w:val="18"/>
    </w:rPr>
  </w:style>
  <w:style w:type="table" w:styleId="698">
    <w:name w:val="Table Grid"/>
    <w:basedOn w:val="84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9">
    <w:name w:val="Table Grid Light"/>
    <w:basedOn w:val="84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0">
    <w:name w:val="Plain Table 1"/>
    <w:basedOn w:val="84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1">
    <w:name w:val="Plain Table 2"/>
    <w:basedOn w:val="84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2">
    <w:name w:val="Plain Table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3">
    <w:name w:val="Plain Table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Plain Table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5">
    <w:name w:val="Grid Table 1 Light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1 Light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Grid Table 1 Light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Grid Table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2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2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3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3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4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7">
    <w:name w:val="Grid Table 4 - Accent 1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8">
    <w:name w:val="Grid Table 4 - Accent 2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9">
    <w:name w:val="Grid Table 4 - Accent 3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0">
    <w:name w:val="Grid Table 4 - Accent 4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1">
    <w:name w:val="Grid Table 4 - Accent 5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2">
    <w:name w:val="Grid Table 4 - Accent 6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3">
    <w:name w:val="Grid Table 5 Dark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4">
    <w:name w:val="Grid Table 5 Dark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35">
    <w:name w:val="Grid Table 5 Dark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36">
    <w:name w:val="Grid Table 5 Dark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37">
    <w:name w:val="Grid Table 5 Dark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38">
    <w:name w:val="Grid Table 5 Dark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39">
    <w:name w:val="Grid Table 5 Dark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40">
    <w:name w:val="Grid Table 6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1">
    <w:name w:val="Grid Table 6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2">
    <w:name w:val="Grid Table 6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3">
    <w:name w:val="Grid Table 6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4">
    <w:name w:val="Grid Table 6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5">
    <w:name w:val="Grid Table 6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6">
    <w:name w:val="Grid Table 6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7">
    <w:name w:val="Grid Table 7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7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7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1 Light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List Table 1 Light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List Table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2">
    <w:name w:val="List Table 2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3">
    <w:name w:val="List Table 2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4">
    <w:name w:val="List Table 2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5">
    <w:name w:val="List Table 2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6">
    <w:name w:val="List Table 2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7">
    <w:name w:val="List Table 2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8">
    <w:name w:val="List Table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3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3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4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4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5 Dark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5 Dark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5 Dark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5 Dark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8">
    <w:name w:val="List Table 5 Dark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9">
    <w:name w:val="List Table 6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0">
    <w:name w:val="List Table 6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1">
    <w:name w:val="List Table 6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2">
    <w:name w:val="List Table 6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3">
    <w:name w:val="List Table 6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4">
    <w:name w:val="List Table 6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5">
    <w:name w:val="List Table 6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6">
    <w:name w:val="List Table 7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7">
    <w:name w:val="List Table 7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98">
    <w:name w:val="List Table 7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99">
    <w:name w:val="List Table 7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00">
    <w:name w:val="List Table 7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01">
    <w:name w:val="List Table 7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02">
    <w:name w:val="List Table 7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03">
    <w:name w:val="Lined - Accent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4">
    <w:name w:val="Lined - Accent 1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5">
    <w:name w:val="Lined - Accent 2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6">
    <w:name w:val="Lined - Accent 3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7">
    <w:name w:val="Lined - Accent 4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8">
    <w:name w:val="Lined - Accent 5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9">
    <w:name w:val="Lined - Accent 6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10">
    <w:name w:val="Bordered &amp; Lined - Accent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1">
    <w:name w:val="Bordered &amp; Lined - Accent 1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12">
    <w:name w:val="Bordered &amp; Lined - Accent 2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13">
    <w:name w:val="Bordered &amp; Lined - Accent 3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14">
    <w:name w:val="Bordered &amp; Lined - Accent 4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15">
    <w:name w:val="Bordered &amp; Lined - Accent 5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16">
    <w:name w:val="Bordered &amp; Lined - Accent 6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17">
    <w:name w:val="Bordered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8">
    <w:name w:val="Bordered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9">
    <w:name w:val="Bordered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0">
    <w:name w:val="Bordered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1">
    <w:name w:val="Bordered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2">
    <w:name w:val="Bordered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3">
    <w:name w:val="Bordered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4">
    <w:name w:val="Footnote Text Char"/>
    <w:link w:val="861"/>
    <w:uiPriority w:val="99"/>
    <w:rPr>
      <w:sz w:val="18"/>
    </w:rPr>
  </w:style>
  <w:style w:type="paragraph" w:styleId="825">
    <w:name w:val="endnote text"/>
    <w:basedOn w:val="839"/>
    <w:link w:val="826"/>
    <w:uiPriority w:val="99"/>
    <w:semiHidden/>
    <w:unhideWhenUsed/>
    <w:pPr>
      <w:spacing w:after="0" w:line="240" w:lineRule="auto"/>
    </w:pPr>
    <w:rPr>
      <w:sz w:val="20"/>
    </w:rPr>
  </w:style>
  <w:style w:type="character" w:styleId="826">
    <w:name w:val="Endnote Text Char"/>
    <w:link w:val="825"/>
    <w:uiPriority w:val="99"/>
    <w:rPr>
      <w:sz w:val="20"/>
    </w:rPr>
  </w:style>
  <w:style w:type="character" w:styleId="827">
    <w:name w:val="endnote reference"/>
    <w:basedOn w:val="842"/>
    <w:uiPriority w:val="99"/>
    <w:semiHidden/>
    <w:unhideWhenUsed/>
    <w:rPr>
      <w:vertAlign w:val="superscript"/>
    </w:rPr>
  </w:style>
  <w:style w:type="paragraph" w:styleId="828">
    <w:name w:val="toc 1"/>
    <w:basedOn w:val="839"/>
    <w:next w:val="839"/>
    <w:uiPriority w:val="39"/>
    <w:unhideWhenUsed/>
    <w:pPr>
      <w:ind w:left="0" w:right="0" w:firstLine="0"/>
      <w:spacing w:after="57"/>
    </w:pPr>
  </w:style>
  <w:style w:type="paragraph" w:styleId="829">
    <w:name w:val="toc 2"/>
    <w:basedOn w:val="839"/>
    <w:next w:val="839"/>
    <w:uiPriority w:val="39"/>
    <w:unhideWhenUsed/>
    <w:pPr>
      <w:ind w:left="283" w:right="0" w:firstLine="0"/>
      <w:spacing w:after="57"/>
    </w:pPr>
  </w:style>
  <w:style w:type="paragraph" w:styleId="830">
    <w:name w:val="toc 3"/>
    <w:basedOn w:val="839"/>
    <w:next w:val="839"/>
    <w:uiPriority w:val="39"/>
    <w:unhideWhenUsed/>
    <w:pPr>
      <w:ind w:left="567" w:right="0" w:firstLine="0"/>
      <w:spacing w:after="57"/>
    </w:pPr>
  </w:style>
  <w:style w:type="paragraph" w:styleId="831">
    <w:name w:val="toc 4"/>
    <w:basedOn w:val="839"/>
    <w:next w:val="839"/>
    <w:uiPriority w:val="39"/>
    <w:unhideWhenUsed/>
    <w:pPr>
      <w:ind w:left="850" w:right="0" w:firstLine="0"/>
      <w:spacing w:after="57"/>
    </w:pPr>
  </w:style>
  <w:style w:type="paragraph" w:styleId="832">
    <w:name w:val="toc 5"/>
    <w:basedOn w:val="839"/>
    <w:next w:val="839"/>
    <w:uiPriority w:val="39"/>
    <w:unhideWhenUsed/>
    <w:pPr>
      <w:ind w:left="1134" w:right="0" w:firstLine="0"/>
      <w:spacing w:after="57"/>
    </w:pPr>
  </w:style>
  <w:style w:type="paragraph" w:styleId="833">
    <w:name w:val="toc 6"/>
    <w:basedOn w:val="839"/>
    <w:next w:val="839"/>
    <w:uiPriority w:val="39"/>
    <w:unhideWhenUsed/>
    <w:pPr>
      <w:ind w:left="1417" w:right="0" w:firstLine="0"/>
      <w:spacing w:after="57"/>
    </w:pPr>
  </w:style>
  <w:style w:type="paragraph" w:styleId="834">
    <w:name w:val="toc 7"/>
    <w:basedOn w:val="839"/>
    <w:next w:val="839"/>
    <w:uiPriority w:val="39"/>
    <w:unhideWhenUsed/>
    <w:pPr>
      <w:ind w:left="1701" w:right="0" w:firstLine="0"/>
      <w:spacing w:after="57"/>
    </w:pPr>
  </w:style>
  <w:style w:type="paragraph" w:styleId="835">
    <w:name w:val="toc 8"/>
    <w:basedOn w:val="839"/>
    <w:next w:val="839"/>
    <w:uiPriority w:val="39"/>
    <w:unhideWhenUsed/>
    <w:pPr>
      <w:ind w:left="1984" w:right="0" w:firstLine="0"/>
      <w:spacing w:after="57"/>
    </w:pPr>
  </w:style>
  <w:style w:type="paragraph" w:styleId="836">
    <w:name w:val="toc 9"/>
    <w:basedOn w:val="839"/>
    <w:next w:val="839"/>
    <w:uiPriority w:val="39"/>
    <w:unhideWhenUsed/>
    <w:pPr>
      <w:ind w:left="2268" w:right="0" w:firstLine="0"/>
      <w:spacing w:after="57"/>
    </w:pPr>
  </w:style>
  <w:style w:type="paragraph" w:styleId="837">
    <w:name w:val="TOC Heading"/>
    <w:uiPriority w:val="39"/>
    <w:unhideWhenUsed/>
  </w:style>
  <w:style w:type="paragraph" w:styleId="838">
    <w:name w:val="table of figures"/>
    <w:basedOn w:val="839"/>
    <w:next w:val="839"/>
    <w:uiPriority w:val="99"/>
    <w:unhideWhenUsed/>
    <w:pPr>
      <w:spacing w:after="0" w:afterAutospacing="0"/>
    </w:pPr>
  </w:style>
  <w:style w:type="paragraph" w:styleId="839" w:default="1">
    <w:name w:val="Normal"/>
    <w:qFormat/>
  </w:style>
  <w:style w:type="paragraph" w:styleId="840">
    <w:name w:val="Heading 1"/>
    <w:basedOn w:val="839"/>
    <w:link w:val="845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paragraph" w:styleId="841">
    <w:name w:val="Heading 2"/>
    <w:basedOn w:val="839"/>
    <w:link w:val="846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842" w:default="1">
    <w:name w:val="Default Paragraph Font"/>
    <w:uiPriority w:val="1"/>
    <w:semiHidden/>
    <w:unhideWhenUsed/>
  </w:style>
  <w:style w:type="table" w:styleId="84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4" w:default="1">
    <w:name w:val="No List"/>
    <w:uiPriority w:val="99"/>
    <w:semiHidden/>
    <w:unhideWhenUsed/>
  </w:style>
  <w:style w:type="character" w:styleId="845" w:customStyle="1">
    <w:name w:val="Заголовок 1 Знак"/>
    <w:basedOn w:val="842"/>
    <w:link w:val="840"/>
    <w:uiPriority w:val="9"/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character" w:styleId="846" w:customStyle="1">
    <w:name w:val="Заголовок 2 Знак"/>
    <w:basedOn w:val="842"/>
    <w:link w:val="841"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847">
    <w:name w:val="Normal (Web)"/>
    <w:basedOn w:val="839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48" w:customStyle="1">
    <w:name w:val="apple-converted-space"/>
    <w:basedOn w:val="842"/>
  </w:style>
  <w:style w:type="paragraph" w:styleId="849" w:customStyle="1">
    <w:name w:val="Обычный2"/>
    <w:uiPriority w:val="99"/>
    <w:pPr>
      <w:jc w:val="both"/>
      <w:spacing w:before="100" w:after="100" w:line="360" w:lineRule="atLeast"/>
      <w:widowControl w:val="off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850">
    <w:name w:val="Header"/>
    <w:basedOn w:val="839"/>
    <w:link w:val="851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51" w:customStyle="1">
    <w:name w:val="Верхний колонтитул Знак"/>
    <w:basedOn w:val="842"/>
    <w:link w:val="850"/>
    <w:uiPriority w:val="99"/>
  </w:style>
  <w:style w:type="paragraph" w:styleId="852">
    <w:name w:val="Footer"/>
    <w:basedOn w:val="839"/>
    <w:link w:val="853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53" w:customStyle="1">
    <w:name w:val="Нижний колонтитул Знак"/>
    <w:basedOn w:val="842"/>
    <w:link w:val="852"/>
    <w:uiPriority w:val="99"/>
  </w:style>
  <w:style w:type="paragraph" w:styleId="854">
    <w:name w:val="Balloon Text"/>
    <w:basedOn w:val="839"/>
    <w:link w:val="85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55" w:customStyle="1">
    <w:name w:val="Текст выноски Знак"/>
    <w:basedOn w:val="842"/>
    <w:link w:val="854"/>
    <w:uiPriority w:val="99"/>
    <w:semiHidden/>
    <w:rPr>
      <w:rFonts w:ascii="Tahoma" w:hAnsi="Tahoma" w:cs="Tahoma"/>
      <w:sz w:val="16"/>
      <w:szCs w:val="16"/>
    </w:rPr>
  </w:style>
  <w:style w:type="character" w:styleId="856">
    <w:name w:val="Hyperlink"/>
    <w:basedOn w:val="842"/>
    <w:uiPriority w:val="99"/>
    <w:unhideWhenUsed/>
    <w:rPr>
      <w:color w:val="0000ff"/>
      <w:u w:val="single"/>
    </w:rPr>
  </w:style>
  <w:style w:type="paragraph" w:styleId="857">
    <w:name w:val="List Paragraph"/>
    <w:basedOn w:val="839"/>
    <w:link w:val="860"/>
    <w:uiPriority w:val="34"/>
    <w:qFormat/>
    <w:pPr>
      <w:contextualSpacing/>
      <w:ind w:left="720"/>
    </w:pPr>
  </w:style>
  <w:style w:type="paragraph" w:styleId="858" w:customStyle="1">
    <w:name w:val="Ариал"/>
    <w:basedOn w:val="839"/>
    <w:link w:val="859"/>
    <w:pPr>
      <w:ind w:firstLine="851"/>
      <w:jc w:val="both"/>
      <w:spacing w:before="120" w:after="120" w:line="360" w:lineRule="auto"/>
    </w:pPr>
    <w:rPr>
      <w:rFonts w:ascii="Arial" w:hAnsi="Arial" w:eastAsia="Times New Roman" w:cs="Times New Roman"/>
      <w:sz w:val="24"/>
      <w:szCs w:val="20"/>
    </w:rPr>
  </w:style>
  <w:style w:type="character" w:styleId="859" w:customStyle="1">
    <w:name w:val="Ариал Знак1"/>
    <w:link w:val="858"/>
    <w:rPr>
      <w:rFonts w:ascii="Arial" w:hAnsi="Arial" w:eastAsia="Times New Roman" w:cs="Times New Roman"/>
      <w:sz w:val="24"/>
      <w:szCs w:val="20"/>
    </w:rPr>
  </w:style>
  <w:style w:type="character" w:styleId="860" w:customStyle="1">
    <w:name w:val="Абзац списка Знак"/>
    <w:link w:val="857"/>
    <w:uiPriority w:val="34"/>
    <w:qFormat/>
  </w:style>
  <w:style w:type="paragraph" w:styleId="861">
    <w:name w:val="footnote text"/>
    <w:basedOn w:val="839"/>
    <w:link w:val="862"/>
    <w:uiPriority w:val="99"/>
    <w:unhideWhenUsed/>
    <w:pPr>
      <w:spacing w:after="0" w:line="240" w:lineRule="auto"/>
    </w:pPr>
    <w:rPr>
      <w:rFonts w:ascii="Calibri" w:hAnsi="Calibri" w:eastAsia="Calibri" w:cs="Times New Roman"/>
      <w:sz w:val="20"/>
      <w:szCs w:val="20"/>
    </w:rPr>
  </w:style>
  <w:style w:type="character" w:styleId="862" w:customStyle="1">
    <w:name w:val="Текст сноски Знак"/>
    <w:basedOn w:val="842"/>
    <w:link w:val="861"/>
    <w:uiPriority w:val="99"/>
    <w:rPr>
      <w:rFonts w:ascii="Calibri" w:hAnsi="Calibri" w:eastAsia="Calibri" w:cs="Times New Roman"/>
      <w:sz w:val="20"/>
      <w:szCs w:val="20"/>
    </w:rPr>
  </w:style>
  <w:style w:type="character" w:styleId="863">
    <w:name w:val="footnote reference"/>
    <w:uiPriority w:val="99"/>
    <w:unhideWhenUsed/>
    <w:rPr>
      <w:vertAlign w:val="superscript"/>
    </w:rPr>
  </w:style>
  <w:style w:type="paragraph" w:styleId="864">
    <w:name w:val="No Spacing"/>
    <w:uiPriority w:val="1"/>
    <w:qFormat/>
    <w:pPr>
      <w:spacing w:after="0" w:line="240" w:lineRule="auto"/>
    </w:pPr>
  </w:style>
  <w:style w:type="paragraph" w:styleId="865">
    <w:name w:val="Body Text 3"/>
    <w:basedOn w:val="839"/>
    <w:link w:val="866"/>
    <w:uiPriority w:val="99"/>
    <w:unhideWhenUsed/>
    <w:pPr>
      <w:spacing w:after="120" w:line="240" w:lineRule="auto"/>
    </w:pPr>
    <w:rPr>
      <w:rFonts w:ascii="Times New Roman" w:hAnsi="Times New Roman" w:eastAsia="Times New Roman" w:cs="Times New Roman"/>
      <w:sz w:val="16"/>
      <w:szCs w:val="16"/>
      <w:lang w:eastAsia="ru-RU"/>
    </w:rPr>
  </w:style>
  <w:style w:type="character" w:styleId="866" w:customStyle="1">
    <w:name w:val="Основной текст 3 Знак"/>
    <w:basedOn w:val="842"/>
    <w:link w:val="865"/>
    <w:uiPriority w:val="99"/>
    <w:rPr>
      <w:rFonts w:ascii="Times New Roman" w:hAnsi="Times New Roman" w:eastAsia="Times New Roman" w:cs="Times New Roman"/>
      <w:sz w:val="16"/>
      <w:szCs w:val="16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://www.zakupki.gov.ru" TargetMode="External"/><Relationship Id="rId11" Type="http://schemas.openxmlformats.org/officeDocument/2006/relationships/hyperlink" Target="http://www.roseltorg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E0ADF7-9E83-485F-B971-A160BFEB6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Гостева А.Н.</dc:creator>
  <cp:keywords/>
  <dc:description/>
  <cp:lastModifiedBy>BarmikovaEV</cp:lastModifiedBy>
  <cp:revision>235</cp:revision>
  <dcterms:created xsi:type="dcterms:W3CDTF">2015-06-03T08:05:00Z</dcterms:created>
  <dcterms:modified xsi:type="dcterms:W3CDTF">2025-11-28T07:48:37Z</dcterms:modified>
</cp:coreProperties>
</file>