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ackground w:color="FFFFFF"/>
  <w:body>
    <w:p>
      <w:pPr>
        <w:pStyle w:val="Normal"/>
        <w:autoSpaceDE w:val="false"/>
        <w:jc w:val="center"/>
        <w:rPr>
          <w:b/>
          <w:bCs/>
        </w:rPr>
      </w:pPr>
      <w:r>
        <w:rPr>
          <w:b/>
          <w:bCs/>
        </w:rPr>
        <w:t>Протокол</w:t>
      </w:r>
    </w:p>
    <w:p>
      <w:pPr>
        <w:pStyle w:val="Normal"/>
        <w:autoSpaceDE w:val="false"/>
        <w:jc w:val="center"/>
        <w:rPr/>
      </w:pPr>
      <w:r>
        <w:rPr>
          <w:b/>
          <w:bCs/>
        </w:rPr>
        <w:t>закупки у единственного поставщика (исполнителя, подрядчика) участниками которой</w:t>
      </w:r>
      <w:r>
        <w:rPr>
          <w:rFonts w:cs="Arial" w:ascii="Arial" w:hAnsi="Arial"/>
          <w:bCs/>
          <w:sz w:val="17"/>
        </w:rPr>
        <w:t xml:space="preserve"> </w:t>
      </w:r>
      <w:r>
        <w:rPr>
          <w:b/>
          <w:bCs/>
        </w:rPr>
        <w:t>могут быть только субъекты малого и среднего предпринимательства</w:t>
      </w:r>
    </w:p>
    <w:p>
      <w:pPr>
        <w:pStyle w:val="Normal"/>
        <w:autoSpaceDE w:val="false"/>
        <w:jc w:val="center"/>
        <w:rPr>
          <w:b/>
          <w:bCs/>
        </w:rPr>
      </w:pPr>
      <w:r>
        <w:rPr>
          <w:b/>
          <w:bCs/>
        </w:rPr>
      </w:r>
    </w:p>
    <w:p>
      <w:pPr>
        <w:pStyle w:val="Normal"/>
        <w:autoSpaceDE w:val="false"/>
        <w:jc w:val="center"/>
        <w:rPr>
          <w:b/>
          <w:bCs/>
        </w:rPr>
      </w:pPr>
      <w:r>
        <w:rPr>
          <w:b/>
          <w:bCs/>
        </w:rPr>
      </w:r>
    </w:p>
    <w:p>
      <w:pPr>
        <w:pStyle w:val="Normal"/>
        <w:autoSpaceDE w:val="false"/>
        <w:jc w:val="end"/>
        <w:rPr/>
      </w:pPr>
      <w:r>
        <w:rPr>
          <w:b/>
          <w:bCs/>
        </w:rPr>
        <w:t>03.03.2025 г.</w:t>
      </w:r>
    </w:p>
    <w:p>
      <w:pPr>
        <w:pStyle w:val="Normal"/>
        <w:autoSpaceDE w:val="false"/>
        <w:ind w:firstLine="708" w:end="0"/>
        <w:jc w:val="both"/>
        <w:rPr>
          <w:b/>
          <w:bCs/>
        </w:rPr>
      </w:pPr>
      <w:r>
        <w:rPr>
          <w:b/>
          <w:bCs/>
        </w:rPr>
        <w:t>1. Наименование закупки</w:t>
      </w:r>
    </w:p>
    <w:p>
      <w:pPr>
        <w:pStyle w:val="Normal"/>
        <w:autoSpaceDE w:val="false"/>
        <w:jc w:val="both"/>
        <w:rPr>
          <w:color w:val="FF0000"/>
        </w:rPr>
      </w:pPr>
      <w:r>
        <w:rPr>
          <w:i/>
          <w:iCs/>
        </w:rPr>
        <w:t>Наименование закупки</w:t>
      </w:r>
      <w:r>
        <w:rPr/>
        <w:t xml:space="preserve">: </w:t>
      </w:r>
      <w:r>
        <w:rPr>
          <w:b/>
          <w:bCs/>
          <w:color w:val="000000"/>
          <w:lang w:eastAsia="ru-RU"/>
        </w:rPr>
        <w:t>овощи, фрукты, переработанные овощи и фрукты</w:t>
      </w:r>
    </w:p>
    <w:p>
      <w:pPr>
        <w:pStyle w:val="Normal"/>
        <w:autoSpaceDE w:val="false"/>
        <w:jc w:val="both"/>
        <w:rPr>
          <w:b/>
          <w:bCs/>
        </w:rPr>
      </w:pPr>
      <w:r>
        <w:rPr>
          <w:b/>
          <w:bCs/>
        </w:rPr>
        <w:t>2. Способ закупки</w:t>
      </w:r>
    </w:p>
    <w:p>
      <w:pPr>
        <w:pStyle w:val="Normal"/>
        <w:autoSpaceDE w:val="false"/>
        <w:jc w:val="both"/>
        <w:rPr/>
      </w:pPr>
      <w:r>
        <w:rPr>
          <w:i/>
          <w:iCs/>
        </w:rPr>
        <w:t>Способ закупки</w:t>
      </w:r>
      <w:r>
        <w:rPr/>
        <w:t>: закупка у единственного поставщика (исполнителя, подрядчика) участниками которой</w:t>
      </w:r>
      <w:r>
        <w:rPr>
          <w:rFonts w:cs="Arial" w:ascii="Arial" w:hAnsi="Arial"/>
          <w:sz w:val="17"/>
        </w:rPr>
        <w:t xml:space="preserve"> </w:t>
      </w:r>
      <w:r>
        <w:rPr/>
        <w:t>могут быть только субъекты малого и среднего предпринимательства (далее - закупки у единственного поставщика (исполнителя, подрядчика)</w:t>
      </w:r>
    </w:p>
    <w:p>
      <w:pPr>
        <w:pStyle w:val="Normal"/>
        <w:tabs>
          <w:tab w:val="left" w:pos="708" w:leader="none"/>
        </w:tabs>
        <w:autoSpaceDE w:val="false"/>
        <w:jc w:val="both"/>
        <w:rPr/>
      </w:pPr>
      <w:r>
        <w:rPr>
          <w:b/>
          <w:bCs/>
        </w:rPr>
        <w:tab/>
        <w:t xml:space="preserve">3. Наименование: </w:t>
      </w:r>
      <w:r>
        <w:rPr/>
        <w:t>Муниципальное автономное дошкольное образовательное учреждение "Детский сад общеразвивающего вида № 22" г. Усинска</w:t>
      </w:r>
    </w:p>
    <w:p>
      <w:pPr>
        <w:pStyle w:val="Normal"/>
        <w:autoSpaceDE w:val="false"/>
        <w:rPr/>
      </w:pPr>
      <w:r>
        <w:rPr>
          <w:b/>
          <w:bCs/>
        </w:rPr>
        <w:t xml:space="preserve">Место нахождения: </w:t>
      </w:r>
      <w:r>
        <w:rPr>
          <w:lang w:bidi="en-US"/>
        </w:rPr>
        <w:t>169710, Республика Коми, г. Усинск, ул. Приполярная, 4а</w:t>
      </w:r>
    </w:p>
    <w:p>
      <w:pPr>
        <w:pStyle w:val="Normal"/>
        <w:autoSpaceDE w:val="false"/>
        <w:rPr/>
      </w:pPr>
      <w:r>
        <w:rPr>
          <w:b/>
          <w:bCs/>
        </w:rPr>
        <w:t xml:space="preserve">Почтовый адрес: </w:t>
      </w:r>
      <w:r>
        <w:rPr>
          <w:lang w:bidi="en-US"/>
        </w:rPr>
        <w:t>169710, Республика Коми, г. Усинск, ул. Приполярная, 4а</w:t>
      </w:r>
    </w:p>
    <w:p>
      <w:pPr>
        <w:pStyle w:val="Normal"/>
        <w:autoSpaceDE w:val="false"/>
        <w:jc w:val="both"/>
        <w:rPr/>
      </w:pPr>
      <w:r>
        <w:rPr>
          <w:b/>
          <w:bCs/>
        </w:rPr>
        <w:t>Адрес электронной почты:</w:t>
      </w:r>
      <w:r>
        <w:rPr/>
        <w:t xml:space="preserve"> </w:t>
      </w:r>
      <w:r>
        <w:rPr>
          <w:lang w:val="en-US"/>
        </w:rPr>
        <w:t>ds</w:t>
      </w:r>
      <w:r>
        <w:rPr/>
        <w:t>_22_</w:t>
      </w:r>
      <w:r>
        <w:rPr>
          <w:lang w:val="en-US"/>
        </w:rPr>
        <w:t>usinsk</w:t>
      </w:r>
      <w:r>
        <w:rPr/>
        <w:t>@</w:t>
      </w:r>
      <w:r>
        <w:rPr>
          <w:lang w:val="en-US"/>
        </w:rPr>
        <w:t>edu</w:t>
      </w:r>
      <w:r>
        <w:rPr/>
        <w:t>.</w:t>
      </w:r>
      <w:r>
        <w:rPr>
          <w:lang w:val="en-US"/>
        </w:rPr>
        <w:t>rkomi</w:t>
      </w:r>
      <w:r>
        <w:rPr/>
        <w:t>.ru</w:t>
      </w:r>
    </w:p>
    <w:p>
      <w:pPr>
        <w:pStyle w:val="Normal"/>
        <w:autoSpaceDE w:val="false"/>
        <w:jc w:val="both"/>
        <w:rPr/>
      </w:pPr>
      <w:r>
        <w:rPr>
          <w:b/>
          <w:bCs/>
        </w:rPr>
        <w:t xml:space="preserve">Номер контактного телефона: </w:t>
      </w:r>
      <w:r>
        <w:rPr>
          <w:lang w:bidi="en-US"/>
        </w:rPr>
        <w:t xml:space="preserve">Тел./факс: </w:t>
      </w:r>
      <w:r>
        <w:rPr/>
        <w:t xml:space="preserve">8 (82144) </w:t>
      </w:r>
      <w:r>
        <w:rPr>
          <w:lang w:bidi="en-US"/>
        </w:rPr>
        <w:t>28377</w:t>
      </w:r>
    </w:p>
    <w:p>
      <w:pPr>
        <w:pStyle w:val="Normal"/>
        <w:autoSpaceDE w:val="false"/>
        <w:jc w:val="both"/>
        <w:rPr>
          <w:b/>
          <w:bCs/>
        </w:rPr>
      </w:pPr>
      <w:r>
        <w:rPr>
          <w:b/>
          <w:bCs/>
        </w:rPr>
        <w:t xml:space="preserve">Ответственное (контактное) лицо Заказчика, организатора закупки: </w:t>
      </w:r>
    </w:p>
    <w:p>
      <w:pPr>
        <w:pStyle w:val="Normal"/>
        <w:autoSpaceDE w:val="false"/>
        <w:jc w:val="both"/>
        <w:rPr/>
      </w:pPr>
      <w:r>
        <w:rPr/>
        <w:t>Кучеренко Олеся Владимировна</w:t>
      </w:r>
    </w:p>
    <w:p>
      <w:pPr>
        <w:pStyle w:val="Normal"/>
        <w:autoSpaceDE w:val="false"/>
        <w:ind w:firstLine="708" w:end="0"/>
        <w:jc w:val="both"/>
        <w:rPr>
          <w:b/>
          <w:bCs/>
        </w:rPr>
      </w:pPr>
      <w:r>
        <w:rPr>
          <w:b/>
          <w:bCs/>
        </w:rPr>
        <w:t>4. Сведения о присутствующих на заседании членах закупочной комиссии</w:t>
      </w:r>
    </w:p>
    <w:tbl>
      <w:tblPr>
        <w:tblW w:w="9356" w:type="dxa"/>
        <w:jc w:val="start"/>
        <w:tblInd w:w="28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3969"/>
        <w:gridCol w:w="5387"/>
      </w:tblGrid>
      <w:tr>
        <w:trPr/>
        <w:tc>
          <w:tcPr>
            <w:tcW w:w="39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LineNumbers/>
              <w:jc w:val="center"/>
              <w:rPr>
                <w:rFonts w:eastAsia="Lucida Sans Unicode" w:cs="Tahoma"/>
                <w:b/>
                <w:kern w:val="2"/>
                <w:lang w:eastAsia="ru-RU" w:bidi="ru-RU"/>
              </w:rPr>
            </w:pPr>
            <w:r>
              <w:rPr>
                <w:rFonts w:eastAsia="Lucida Sans Unicode" w:cs="Tahoma"/>
                <w:b/>
                <w:kern w:val="2"/>
                <w:lang w:eastAsia="ru-RU" w:bidi="ru-RU"/>
              </w:rPr>
              <w:t>Роль в комиссии</w:t>
            </w:r>
          </w:p>
        </w:tc>
        <w:tc>
          <w:tcPr>
            <w:tcW w:w="53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LineNumbers/>
              <w:jc w:val="center"/>
              <w:rPr>
                <w:rFonts w:eastAsia="Lucida Sans Unicode" w:cs="Tahoma"/>
                <w:b/>
                <w:kern w:val="2"/>
                <w:lang w:eastAsia="ru-RU" w:bidi="ru-RU"/>
              </w:rPr>
            </w:pPr>
            <w:r>
              <w:rPr>
                <w:rFonts w:eastAsia="Lucida Sans Unicode" w:cs="Tahoma"/>
                <w:b/>
                <w:kern w:val="2"/>
                <w:lang w:eastAsia="ru-RU" w:bidi="ru-RU"/>
              </w:rPr>
              <w:t>Ф.И.О.</w:t>
            </w:r>
          </w:p>
        </w:tc>
      </w:tr>
      <w:tr>
        <w:trPr/>
        <w:tc>
          <w:tcPr>
            <w:tcW w:w="39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LineNumbers/>
              <w:rPr>
                <w:rFonts w:eastAsia="Lucida Sans Unicode" w:cs="Tahoma"/>
                <w:kern w:val="2"/>
                <w:lang w:eastAsia="ru-RU" w:bidi="ru-RU"/>
              </w:rPr>
            </w:pPr>
            <w:r>
              <w:rPr>
                <w:rFonts w:eastAsia="Lucida Sans Unicode" w:cs="Tahoma"/>
                <w:kern w:val="2"/>
                <w:lang w:eastAsia="ru-RU" w:bidi="ru-RU"/>
              </w:rPr>
              <w:t> </w:t>
            </w:r>
            <w:r>
              <w:rPr>
                <w:rFonts w:eastAsia="Lucida Sans Unicode" w:cs="Tahoma"/>
                <w:kern w:val="2"/>
                <w:lang w:eastAsia="ru-RU" w:bidi="ru-RU"/>
              </w:rPr>
              <w:t>Председатель комиссии</w:t>
            </w:r>
          </w:p>
        </w:tc>
        <w:tc>
          <w:tcPr>
            <w:tcW w:w="53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LineNumbers/>
              <w:rPr>
                <w:rFonts w:eastAsia="Lucida Sans Unicode" w:cs="Tahoma"/>
                <w:color w:val="000000"/>
                <w:kern w:val="2"/>
                <w:lang w:eastAsia="ru-RU" w:bidi="ru-RU"/>
              </w:rPr>
            </w:pPr>
            <w:r>
              <w:rPr>
                <w:rFonts w:eastAsia="Lucida Sans Unicode" w:cs="Tahoma"/>
                <w:color w:val="000000"/>
                <w:kern w:val="2"/>
                <w:lang w:eastAsia="ru-RU" w:bidi="ru-RU"/>
              </w:rPr>
              <w:t> </w:t>
            </w:r>
            <w:r>
              <w:rPr>
                <w:rFonts w:eastAsia="Lucida Sans Unicode" w:cs="Tahoma"/>
                <w:color w:val="000000"/>
                <w:kern w:val="2"/>
                <w:lang w:eastAsia="ru-RU" w:bidi="ru-RU"/>
              </w:rPr>
              <w:t>Фощей Мария Васильевна</w:t>
            </w:r>
          </w:p>
        </w:tc>
      </w:tr>
      <w:tr>
        <w:trPr/>
        <w:tc>
          <w:tcPr>
            <w:tcW w:w="39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LineNumbers/>
              <w:rPr>
                <w:rFonts w:eastAsia="Lucida Sans Unicode" w:cs="Tahoma"/>
                <w:kern w:val="2"/>
                <w:lang w:eastAsia="ru-RU" w:bidi="ru-RU"/>
              </w:rPr>
            </w:pPr>
            <w:r>
              <w:rPr>
                <w:rFonts w:eastAsia="Lucida Sans Unicode" w:cs="Tahoma"/>
                <w:kern w:val="2"/>
                <w:lang w:eastAsia="ru-RU" w:bidi="ru-RU"/>
              </w:rPr>
              <w:t> </w:t>
            </w:r>
            <w:r>
              <w:rPr>
                <w:rFonts w:eastAsia="Lucida Sans Unicode" w:cs="Tahoma"/>
                <w:kern w:val="2"/>
                <w:lang w:eastAsia="ru-RU" w:bidi="ru-RU"/>
              </w:rPr>
              <w:t>Заместитель председателя комиссии</w:t>
            </w:r>
          </w:p>
        </w:tc>
        <w:tc>
          <w:tcPr>
            <w:tcW w:w="53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LineNumbers/>
              <w:rPr>
                <w:rFonts w:eastAsia="Lucida Sans Unicode" w:cs="Tahoma"/>
                <w:color w:val="000000"/>
                <w:kern w:val="2"/>
                <w:lang w:eastAsia="ru-RU" w:bidi="ru-RU"/>
              </w:rPr>
            </w:pPr>
            <w:r>
              <w:rPr>
                <w:rFonts w:eastAsia="Lucida Sans Unicode" w:cs="Tahoma"/>
                <w:color w:val="000000"/>
                <w:kern w:val="2"/>
                <w:lang w:eastAsia="ru-RU" w:bidi="ru-RU"/>
              </w:rPr>
              <w:t> </w:t>
            </w:r>
            <w:r>
              <w:rPr>
                <w:rFonts w:eastAsia="Lucida Sans Unicode" w:cs="Tahoma"/>
                <w:color w:val="000000"/>
                <w:kern w:val="2"/>
                <w:lang w:eastAsia="ru-RU" w:bidi="ru-RU"/>
              </w:rPr>
              <w:t>Выучейская Виктория Васильевна</w:t>
            </w:r>
          </w:p>
        </w:tc>
      </w:tr>
      <w:tr>
        <w:trPr/>
        <w:tc>
          <w:tcPr>
            <w:tcW w:w="39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LineNumbers/>
              <w:rPr>
                <w:rFonts w:eastAsia="Lucida Sans Unicode" w:cs="Tahoma"/>
                <w:kern w:val="2"/>
                <w:lang w:eastAsia="ru-RU" w:bidi="ru-RU"/>
              </w:rPr>
            </w:pPr>
            <w:r>
              <w:rPr/>
              <w:t xml:space="preserve"> </w:t>
            </w:r>
            <w:r>
              <w:rPr/>
              <w:t>Секретарь</w:t>
            </w:r>
          </w:p>
        </w:tc>
        <w:tc>
          <w:tcPr>
            <w:tcW w:w="53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LineNumbers/>
              <w:rPr>
                <w:rFonts w:eastAsia="Lucida Sans Unicode" w:cs="Tahoma"/>
                <w:color w:val="000000"/>
                <w:kern w:val="2"/>
                <w:lang w:eastAsia="ru-RU" w:bidi="ru-RU"/>
              </w:rPr>
            </w:pPr>
            <w:r>
              <w:rPr>
                <w:rFonts w:eastAsia="Lucida Sans Unicode" w:cs="Tahoma"/>
                <w:color w:val="000000"/>
                <w:kern w:val="2"/>
                <w:lang w:eastAsia="ru-RU" w:bidi="ru-RU"/>
              </w:rPr>
              <w:t xml:space="preserve"> </w:t>
            </w:r>
            <w:r>
              <w:rPr>
                <w:rFonts w:eastAsia="Lucida Sans Unicode" w:cs="Tahoma"/>
                <w:color w:val="000000"/>
                <w:kern w:val="2"/>
                <w:lang w:eastAsia="ru-RU" w:bidi="ru-RU"/>
              </w:rPr>
              <w:t>Выучейская Юлия Сергеевна</w:t>
            </w:r>
          </w:p>
        </w:tc>
      </w:tr>
      <w:tr>
        <w:trPr/>
        <w:tc>
          <w:tcPr>
            <w:tcW w:w="39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LineNumbers/>
              <w:rPr>
                <w:rFonts w:eastAsia="Lucida Sans Unicode" w:cs="Tahoma"/>
                <w:kern w:val="2"/>
                <w:lang w:eastAsia="ru-RU" w:bidi="ru-RU"/>
              </w:rPr>
            </w:pPr>
            <w:r>
              <w:rPr>
                <w:rFonts w:eastAsia="Lucida Sans Unicode" w:cs="Tahoma"/>
                <w:kern w:val="2"/>
                <w:lang w:eastAsia="ru-RU" w:bidi="ru-RU"/>
              </w:rPr>
              <w:t> </w:t>
            </w:r>
            <w:r>
              <w:rPr>
                <w:rFonts w:eastAsia="Lucida Sans Unicode" w:cs="Tahoma"/>
                <w:kern w:val="2"/>
                <w:lang w:eastAsia="ru-RU" w:bidi="ru-RU"/>
              </w:rPr>
              <w:t>Член комиссии</w:t>
            </w:r>
          </w:p>
        </w:tc>
        <w:tc>
          <w:tcPr>
            <w:tcW w:w="53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LineNumbers/>
              <w:rPr>
                <w:rFonts w:eastAsia="Lucida Sans Unicode" w:cs="Tahoma"/>
                <w:color w:val="000000"/>
                <w:kern w:val="2"/>
                <w:lang w:eastAsia="ru-RU" w:bidi="ru-RU"/>
              </w:rPr>
            </w:pPr>
            <w:r>
              <w:rPr>
                <w:rFonts w:eastAsia="Lucida Sans Unicode" w:cs="Tahoma"/>
                <w:color w:val="000000"/>
                <w:kern w:val="2"/>
                <w:lang w:eastAsia="ru-RU" w:bidi="ru-RU"/>
              </w:rPr>
              <w:t> </w:t>
            </w:r>
            <w:r>
              <w:rPr>
                <w:rFonts w:eastAsia="Lucida Sans Unicode" w:cs="Tahoma"/>
                <w:color w:val="000000"/>
                <w:kern w:val="2"/>
                <w:lang w:eastAsia="ru-RU" w:bidi="ru-RU"/>
              </w:rPr>
              <w:t>Нетудыхата Анна Олеговна</w:t>
            </w:r>
          </w:p>
        </w:tc>
      </w:tr>
      <w:tr>
        <w:trPr/>
        <w:tc>
          <w:tcPr>
            <w:tcW w:w="39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LineNumbers/>
              <w:rPr>
                <w:rFonts w:eastAsia="Lucida Sans Unicode" w:cs="Tahoma"/>
                <w:kern w:val="2"/>
                <w:lang w:eastAsia="ru-RU" w:bidi="ru-RU"/>
              </w:rPr>
            </w:pPr>
            <w:r>
              <w:rPr>
                <w:rFonts w:eastAsia="Lucida Sans Unicode" w:cs="Tahoma"/>
                <w:kern w:val="2"/>
                <w:lang w:eastAsia="ru-RU" w:bidi="ru-RU"/>
              </w:rPr>
              <w:t> </w:t>
            </w:r>
            <w:r>
              <w:rPr>
                <w:rFonts w:eastAsia="Lucida Sans Unicode" w:cs="Tahoma"/>
                <w:kern w:val="2"/>
                <w:lang w:eastAsia="ru-RU" w:bidi="ru-RU"/>
              </w:rPr>
              <w:t>Член комиссии</w:t>
            </w:r>
          </w:p>
        </w:tc>
        <w:tc>
          <w:tcPr>
            <w:tcW w:w="53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LineNumbers/>
              <w:rPr>
                <w:rFonts w:eastAsia="Lucida Sans Unicode" w:cs="Tahoma"/>
                <w:color w:val="000000"/>
                <w:kern w:val="2"/>
                <w:lang w:eastAsia="ru-RU" w:bidi="ru-RU"/>
              </w:rPr>
            </w:pPr>
            <w:r>
              <w:rPr>
                <w:rFonts w:eastAsia="Lucida Sans Unicode" w:cs="Tahoma"/>
                <w:color w:val="000000"/>
                <w:kern w:val="2"/>
                <w:lang w:eastAsia="ru-RU" w:bidi="ru-RU"/>
              </w:rPr>
              <w:t> </w:t>
            </w:r>
            <w:r>
              <w:rPr>
                <w:rFonts w:eastAsia="Lucida Sans Unicode" w:cs="Tahoma"/>
                <w:color w:val="000000"/>
                <w:kern w:val="2"/>
                <w:lang w:eastAsia="ru-RU" w:bidi="ru-RU"/>
              </w:rPr>
              <w:t>Панкратова Марина Николаевна</w:t>
            </w:r>
          </w:p>
        </w:tc>
      </w:tr>
    </w:tbl>
    <w:p>
      <w:pPr>
        <w:pStyle w:val="Normal"/>
        <w:shd w:fill="FFFFFF" w:val="clear"/>
        <w:autoSpaceDE w:val="false"/>
        <w:ind w:start="-737" w:end="0"/>
        <w:jc w:val="both"/>
        <w:rPr/>
      </w:pPr>
      <w:r>
        <w:rPr/>
      </w:r>
    </w:p>
    <w:p>
      <w:pPr>
        <w:pStyle w:val="Style19"/>
        <w:autoSpaceDE w:val="false"/>
        <w:ind w:start="0" w:end="0"/>
        <w:jc w:val="both"/>
        <w:rPr/>
      </w:pPr>
      <w:r>
        <w:rPr/>
        <w:t>На заседании присутствовали все члены Комиссии. Кворум имеется. Комиссия правомочна принимать решения.</w:t>
      </w:r>
    </w:p>
    <w:p>
      <w:pPr>
        <w:pStyle w:val="Normal"/>
        <w:autoSpaceDE w:val="false"/>
        <w:ind w:firstLine="708" w:end="0"/>
        <w:jc w:val="both"/>
        <w:rPr/>
      </w:pPr>
      <w:r>
        <w:rPr>
          <w:b/>
          <w:bCs/>
        </w:rPr>
        <w:t>5</w:t>
      </w:r>
      <w:r>
        <w:rPr/>
        <w:t xml:space="preserve">. </w:t>
      </w:r>
      <w:r>
        <w:rPr>
          <w:b/>
          <w:bCs/>
        </w:rPr>
        <w:t>Дата, время и место проведения заседания Комиссии</w:t>
      </w:r>
    </w:p>
    <w:p>
      <w:pPr>
        <w:pStyle w:val="Normal"/>
        <w:autoSpaceDE w:val="false"/>
        <w:jc w:val="both"/>
        <w:rPr/>
      </w:pPr>
      <w:r>
        <w:rPr/>
        <w:t xml:space="preserve">Заседание Комиссии по закупке у единственного поставщика (исполнителя, подрядчика) проводилось 03 марта 2025 года в период с 14 часов 00 минут по 14 часов 30 минут по адресу: </w:t>
      </w:r>
      <w:r>
        <w:rPr>
          <w:lang w:bidi="en-US"/>
        </w:rPr>
        <w:t xml:space="preserve"> 169710, Республика Коми, г. Усинск, ул. Приполярная, 4а.</w:t>
      </w:r>
    </w:p>
    <w:p>
      <w:pPr>
        <w:pStyle w:val="Normal"/>
        <w:autoSpaceDE w:val="false"/>
        <w:ind w:firstLine="708" w:end="0"/>
        <w:jc w:val="both"/>
        <w:rPr>
          <w:b/>
          <w:bCs/>
        </w:rPr>
      </w:pPr>
      <w:r>
        <w:rPr>
          <w:b/>
          <w:bCs/>
        </w:rPr>
        <w:t>6. Сведения о предмете закупки и об участнике закупки; основание применения неконкурентной процедуры закупки, объявленные на заседании Комиссии</w:t>
      </w:r>
    </w:p>
    <w:p>
      <w:pPr>
        <w:pStyle w:val="Normal"/>
        <w:autoSpaceDE w:val="false"/>
        <w:jc w:val="both"/>
        <w:rPr/>
      </w:pPr>
      <w:r>
        <w:rPr/>
      </w:r>
    </w:p>
    <w:p>
      <w:pPr>
        <w:pStyle w:val="Normal"/>
        <w:autoSpaceDE w:val="false"/>
        <w:ind w:firstLine="708" w:end="0"/>
        <w:jc w:val="both"/>
        <w:rPr/>
      </w:pPr>
      <w:r>
        <w:rPr>
          <w:b/>
          <w:bCs/>
        </w:rPr>
        <w:t xml:space="preserve">6.1. </w:t>
      </w:r>
      <w:r>
        <w:rPr>
          <w:b/>
        </w:rPr>
        <w:t xml:space="preserve">Предмет договора: </w:t>
      </w:r>
    </w:p>
    <w:tbl>
      <w:tblPr>
        <w:tblW w:w="9762" w:type="dxa"/>
        <w:jc w:val="start"/>
        <w:tblInd w:w="-15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62"/>
        <w:gridCol w:w="3814"/>
        <w:gridCol w:w="1276"/>
        <w:gridCol w:w="1559"/>
        <w:gridCol w:w="1417"/>
        <w:gridCol w:w="1134"/>
      </w:tblGrid>
      <w:tr>
        <w:trPr>
          <w:trHeight w:val="557" w:hRule="atLeast"/>
        </w:trPr>
        <w:tc>
          <w:tcPr>
            <w:tcW w:w="5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autoSpaceDE w:val="false"/>
              <w:jc w:val="center"/>
              <w:rPr>
                <w:b/>
                <w:bCs/>
                <w:iCs/>
              </w:rPr>
            </w:pPr>
            <w:r>
              <w:rPr>
                <w:b/>
                <w:bCs/>
                <w:iCs/>
              </w:rPr>
              <w:t xml:space="preserve">№ </w:t>
            </w:r>
          </w:p>
          <w:p>
            <w:pPr>
              <w:pStyle w:val="Normal"/>
              <w:autoSpaceDE w:val="false"/>
              <w:jc w:val="center"/>
              <w:rPr>
                <w:b/>
                <w:bCs/>
                <w:iCs/>
              </w:rPr>
            </w:pPr>
            <w:r>
              <w:rPr>
                <w:b/>
                <w:bCs/>
                <w:iCs/>
              </w:rPr>
              <w:t>п/п</w:t>
            </w:r>
          </w:p>
        </w:tc>
        <w:tc>
          <w:tcPr>
            <w:tcW w:w="38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autoSpaceDE w:val="false"/>
              <w:jc w:val="center"/>
              <w:rPr>
                <w:b/>
                <w:bCs/>
                <w:iCs/>
              </w:rPr>
            </w:pPr>
            <w:r>
              <w:rPr>
                <w:b/>
                <w:bCs/>
                <w:iCs/>
              </w:rPr>
              <w:t>Предмет договора</w:t>
            </w:r>
          </w:p>
        </w:tc>
        <w:tc>
          <w:tcPr>
            <w:tcW w:w="12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autoSpaceDE w:val="false"/>
              <w:jc w:val="center"/>
              <w:rPr>
                <w:b/>
                <w:bCs/>
                <w:iCs/>
              </w:rPr>
            </w:pPr>
            <w:r>
              <w:rPr>
                <w:b/>
                <w:bCs/>
                <w:iCs/>
              </w:rPr>
              <w:t>ОКПД2</w:t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autoSpaceDE w:val="false"/>
              <w:jc w:val="center"/>
              <w:rPr>
                <w:b/>
                <w:bCs/>
                <w:iCs/>
              </w:rPr>
            </w:pPr>
            <w:r>
              <w:rPr>
                <w:b/>
                <w:bCs/>
                <w:iCs/>
              </w:rPr>
              <w:t>ОКВЭД2</w:t>
            </w:r>
          </w:p>
        </w:tc>
        <w:tc>
          <w:tcPr>
            <w:tcW w:w="14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autoSpaceDE w:val="false"/>
              <w:jc w:val="center"/>
              <w:rPr>
                <w:b/>
                <w:bCs/>
                <w:iCs/>
              </w:rPr>
            </w:pPr>
            <w:r>
              <w:rPr>
                <w:b/>
                <w:bCs/>
                <w:iCs/>
              </w:rPr>
              <w:t>Единица</w:t>
            </w:r>
          </w:p>
          <w:p>
            <w:pPr>
              <w:pStyle w:val="Normal"/>
              <w:autoSpaceDE w:val="false"/>
              <w:jc w:val="center"/>
              <w:rPr>
                <w:b/>
                <w:bCs/>
                <w:iCs/>
              </w:rPr>
            </w:pPr>
            <w:r>
              <w:rPr>
                <w:b/>
                <w:bCs/>
                <w:iCs/>
              </w:rPr>
              <w:t>измерения</w:t>
            </w:r>
          </w:p>
        </w:tc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autoSpaceDE w:val="false"/>
              <w:jc w:val="center"/>
              <w:rPr>
                <w:b/>
                <w:bCs/>
                <w:iCs/>
              </w:rPr>
            </w:pPr>
            <w:r>
              <w:rPr>
                <w:b/>
                <w:bCs/>
                <w:iCs/>
              </w:rPr>
              <w:t>Кол-во</w:t>
            </w:r>
          </w:p>
          <w:p>
            <w:pPr>
              <w:pStyle w:val="Normal"/>
              <w:autoSpaceDE w:val="false"/>
              <w:jc w:val="center"/>
              <w:rPr>
                <w:b/>
                <w:bCs/>
                <w:iCs/>
              </w:rPr>
            </w:pPr>
            <w:r>
              <w:rPr>
                <w:b/>
                <w:bCs/>
                <w:iCs/>
              </w:rPr>
              <w:t>(объем)</w:t>
            </w:r>
          </w:p>
        </w:tc>
      </w:tr>
      <w:tr>
        <w:trPr/>
        <w:tc>
          <w:tcPr>
            <w:tcW w:w="5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autoSpaceDE w:val="false"/>
              <w:jc w:val="center"/>
              <w:rPr/>
            </w:pPr>
            <w:r>
              <w:rPr/>
              <w:t>1</w:t>
            </w:r>
          </w:p>
        </w:tc>
        <w:tc>
          <w:tcPr>
            <w:tcW w:w="38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autoSpaceDE w:val="false"/>
              <w:jc w:val="both"/>
              <w:rPr/>
            </w:pPr>
            <w:r>
              <w:rPr/>
              <w:t>Приобретение овощей, фруктов, переработанных овощей и фруктов</w:t>
            </w:r>
          </w:p>
        </w:tc>
        <w:tc>
          <w:tcPr>
            <w:tcW w:w="12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autoSpaceDE w:val="false"/>
              <w:jc w:val="center"/>
              <w:rPr>
                <w:lang w:eastAsia="ru-RU"/>
              </w:rPr>
            </w:pPr>
            <w:r>
              <w:rPr>
                <w:lang w:eastAsia="ru-RU"/>
              </w:rPr>
              <w:t>46.31</w:t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Cs/>
                <w:iCs/>
              </w:rPr>
            </w:pPr>
            <w:r>
              <w:rPr>
                <w:bCs/>
                <w:iCs/>
              </w:rPr>
              <w:t>01.13.90.000</w:t>
            </w:r>
          </w:p>
          <w:p>
            <w:pPr>
              <w:pStyle w:val="Normal"/>
              <w:jc w:val="center"/>
              <w:rPr/>
            </w:pPr>
            <w:r>
              <w:rPr>
                <w:bCs/>
                <w:iCs/>
              </w:rPr>
              <w:t>10.39.21.110</w:t>
            </w:r>
          </w:p>
          <w:p>
            <w:pPr>
              <w:pStyle w:val="Normal"/>
              <w:jc w:val="center"/>
              <w:rPr>
                <w:bCs/>
                <w:iCs/>
              </w:rPr>
            </w:pPr>
            <w:r>
              <w:rPr>
                <w:bCs/>
                <w:iCs/>
              </w:rPr>
              <w:t>46.31.12.000</w:t>
            </w:r>
          </w:p>
        </w:tc>
        <w:tc>
          <w:tcPr>
            <w:tcW w:w="14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autoSpaceDE w:val="false"/>
              <w:jc w:val="center"/>
              <w:rPr/>
            </w:pPr>
            <w:r>
              <w:rPr/>
              <w:t>Условная единица</w:t>
            </w:r>
          </w:p>
        </w:tc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autoSpaceDE w:val="false"/>
              <w:jc w:val="center"/>
              <w:rPr/>
            </w:pPr>
            <w:r>
              <w:rPr/>
              <w:t>1</w:t>
            </w:r>
          </w:p>
        </w:tc>
      </w:tr>
    </w:tbl>
    <w:p>
      <w:pPr>
        <w:pStyle w:val="Normal"/>
        <w:autoSpaceDE w:val="false"/>
        <w:rPr>
          <w:bCs/>
          <w:iCs/>
        </w:rPr>
      </w:pPr>
      <w:r>
        <w:rPr>
          <w:bCs/>
          <w:iCs/>
        </w:rPr>
      </w:r>
    </w:p>
    <w:p>
      <w:pPr>
        <w:pStyle w:val="Normal"/>
        <w:autoSpaceDE w:val="false"/>
        <w:ind w:firstLine="708" w:end="0"/>
        <w:rPr/>
      </w:pPr>
      <w:r>
        <w:rPr>
          <w:b/>
          <w:bCs/>
        </w:rPr>
        <w:t xml:space="preserve">6.2. </w:t>
      </w:r>
      <w:r>
        <w:rPr>
          <w:b/>
        </w:rPr>
        <w:t>Сведения о начальной (максимальной) цене договора (цене лота)</w:t>
      </w:r>
    </w:p>
    <w:tbl>
      <w:tblPr>
        <w:tblW w:w="9621" w:type="dxa"/>
        <w:jc w:val="start"/>
        <w:tblInd w:w="-15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6077"/>
        <w:gridCol w:w="1701"/>
        <w:gridCol w:w="1843"/>
      </w:tblGrid>
      <w:tr>
        <w:trPr/>
        <w:tc>
          <w:tcPr>
            <w:tcW w:w="60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autoSpaceDE w:val="false"/>
              <w:jc w:val="center"/>
              <w:rPr>
                <w:b/>
                <w:bCs/>
                <w:iCs/>
              </w:rPr>
            </w:pPr>
            <w:r>
              <w:rPr>
                <w:b/>
                <w:bCs/>
                <w:iCs/>
              </w:rPr>
              <w:t>Цена (цифрами и текстом)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autoSpaceDE w:val="false"/>
              <w:jc w:val="center"/>
              <w:rPr>
                <w:b/>
                <w:bCs/>
                <w:iCs/>
              </w:rPr>
            </w:pPr>
            <w:r>
              <w:rPr>
                <w:b/>
                <w:bCs/>
                <w:iCs/>
              </w:rPr>
              <w:t>Единица</w:t>
            </w:r>
          </w:p>
          <w:p>
            <w:pPr>
              <w:pStyle w:val="Normal"/>
              <w:autoSpaceDE w:val="false"/>
              <w:jc w:val="center"/>
              <w:rPr>
                <w:b/>
                <w:bCs/>
                <w:iCs/>
              </w:rPr>
            </w:pPr>
            <w:r>
              <w:rPr>
                <w:b/>
                <w:bCs/>
                <w:iCs/>
              </w:rPr>
              <w:t>измерения</w:t>
            </w:r>
          </w:p>
        </w:tc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autoSpaceDE w:val="false"/>
              <w:jc w:val="center"/>
              <w:rPr>
                <w:b/>
                <w:bCs/>
                <w:iCs/>
              </w:rPr>
            </w:pPr>
            <w:r>
              <w:rPr>
                <w:b/>
                <w:bCs/>
                <w:iCs/>
              </w:rPr>
              <w:t>Примечание</w:t>
            </w:r>
          </w:p>
        </w:tc>
      </w:tr>
      <w:tr>
        <w:trPr/>
        <w:tc>
          <w:tcPr>
            <w:tcW w:w="60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426" w:leader="none"/>
              </w:tabs>
              <w:jc w:val="both"/>
              <w:rPr/>
            </w:pPr>
            <w:r>
              <w:rPr>
                <w:iCs/>
                <w:lang w:eastAsia="ru-RU"/>
              </w:rPr>
              <w:t>691 100 (шестьсот девяносто одна тысяча сто) рублей 00 копеек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autoSpaceDE w:val="false"/>
              <w:jc w:val="center"/>
              <w:rPr/>
            </w:pPr>
            <w:r>
              <w:rPr/>
              <w:t>Российский рубль</w:t>
            </w:r>
          </w:p>
        </w:tc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autoSpaceDE w:val="false"/>
              <w:jc w:val="center"/>
              <w:rPr/>
            </w:pPr>
            <w:r>
              <w:rPr/>
              <w:t>с НДС</w:t>
            </w:r>
          </w:p>
        </w:tc>
      </w:tr>
    </w:tbl>
    <w:p>
      <w:pPr>
        <w:pStyle w:val="Normal"/>
        <w:autoSpaceDE w:val="false"/>
        <w:rPr>
          <w:b/>
          <w:bCs/>
          <w:i/>
          <w:i/>
          <w:iCs/>
        </w:rPr>
      </w:pPr>
      <w:r>
        <w:rPr>
          <w:b/>
          <w:bCs/>
          <w:i/>
          <w:iCs/>
        </w:rPr>
      </w:r>
    </w:p>
    <w:p>
      <w:pPr>
        <w:pStyle w:val="Normal"/>
        <w:autoSpaceDE w:val="false"/>
        <w:ind w:firstLine="708" w:end="0"/>
        <w:jc w:val="both"/>
        <w:rPr/>
      </w:pPr>
      <w:r>
        <w:rPr>
          <w:b/>
          <w:bCs/>
        </w:rPr>
        <w:t xml:space="preserve">6.3. </w:t>
      </w:r>
      <w:r>
        <w:rPr/>
        <w:t>Место, сроки (периоды) и условия поставки товара, выполнения работы, оказания услуги</w:t>
      </w:r>
    </w:p>
    <w:tbl>
      <w:tblPr>
        <w:tblW w:w="9762" w:type="dxa"/>
        <w:jc w:val="start"/>
        <w:tblInd w:w="-15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106"/>
        <w:gridCol w:w="2963"/>
        <w:gridCol w:w="2693"/>
      </w:tblGrid>
      <w:tr>
        <w:trPr/>
        <w:tc>
          <w:tcPr>
            <w:tcW w:w="41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autoSpaceDE w:val="false"/>
              <w:jc w:val="center"/>
              <w:rPr>
                <w:b/>
              </w:rPr>
            </w:pPr>
            <w:r>
              <w:rPr>
                <w:b/>
              </w:rPr>
              <w:t>Место</w:t>
            </w:r>
          </w:p>
        </w:tc>
        <w:tc>
          <w:tcPr>
            <w:tcW w:w="29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autoSpaceDE w:val="false"/>
              <w:jc w:val="center"/>
              <w:rPr>
                <w:b/>
              </w:rPr>
            </w:pPr>
            <w:r>
              <w:rPr>
                <w:b/>
              </w:rPr>
              <w:t>Сроки (период)</w:t>
            </w:r>
          </w:p>
        </w:tc>
        <w:tc>
          <w:tcPr>
            <w:tcW w:w="2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autoSpaceDE w:val="false"/>
              <w:jc w:val="center"/>
              <w:rPr>
                <w:b/>
              </w:rPr>
            </w:pPr>
            <w:r>
              <w:rPr>
                <w:b/>
              </w:rPr>
              <w:t>Условия</w:t>
            </w:r>
          </w:p>
        </w:tc>
      </w:tr>
      <w:tr>
        <w:trPr/>
        <w:tc>
          <w:tcPr>
            <w:tcW w:w="41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autoSpaceDE w:val="false"/>
              <w:jc w:val="both"/>
              <w:rPr>
                <w:lang w:bidi="en-US"/>
              </w:rPr>
            </w:pPr>
            <w:r>
              <w:rPr>
                <w:lang w:bidi="en-US"/>
              </w:rPr>
              <w:t>169710, Республика Коми, г. Усинск, ул. Приполярная, 4а</w:t>
            </w:r>
          </w:p>
        </w:tc>
        <w:tc>
          <w:tcPr>
            <w:tcW w:w="29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851" w:leader="none"/>
              </w:tabs>
              <w:jc w:val="both"/>
              <w:rPr/>
            </w:pPr>
            <w:r>
              <w:rPr/>
              <w:t>Не позднее 30.06.2025 г.</w:t>
            </w:r>
          </w:p>
        </w:tc>
        <w:tc>
          <w:tcPr>
            <w:tcW w:w="2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/>
            </w:pPr>
            <w:r>
              <w:rPr/>
              <w:t>Согласно условиям договора и спецификации</w:t>
            </w:r>
          </w:p>
        </w:tc>
      </w:tr>
    </w:tbl>
    <w:p>
      <w:pPr>
        <w:pStyle w:val="Normal"/>
        <w:autoSpaceDE w:val="false"/>
        <w:rPr/>
      </w:pPr>
      <w:r>
        <w:rPr/>
      </w:r>
    </w:p>
    <w:p>
      <w:pPr>
        <w:pStyle w:val="Normal"/>
        <w:autoSpaceDE w:val="false"/>
        <w:ind w:firstLine="708" w:end="0"/>
        <w:rPr/>
      </w:pPr>
      <w:r>
        <w:rPr>
          <w:b/>
          <w:bCs/>
        </w:rPr>
        <w:t xml:space="preserve">6.4. </w:t>
      </w:r>
      <w:r>
        <w:rPr>
          <w:b/>
        </w:rPr>
        <w:t>Форма, сроки и порядок оплаты товара, работы, услуги:</w:t>
      </w:r>
    </w:p>
    <w:p>
      <w:pPr>
        <w:pStyle w:val="Normal"/>
        <w:tabs>
          <w:tab w:val="clear" w:pos="708"/>
          <w:tab w:val="left" w:pos="716" w:leader="none"/>
          <w:tab w:val="left" w:pos="900" w:leader="none"/>
        </w:tabs>
        <w:suppressAutoHyphens w:val="false"/>
        <w:jc w:val="both"/>
        <w:rPr/>
      </w:pPr>
      <w:r>
        <w:rPr>
          <w:b/>
          <w:iCs/>
        </w:rPr>
        <w:t>Форма оплаты</w:t>
      </w:r>
      <w:r>
        <w:rPr>
          <w:b/>
        </w:rPr>
        <w:t>:</w:t>
      </w:r>
      <w:r>
        <w:rPr/>
        <w:t xml:space="preserve"> безналичный расчет. </w:t>
      </w:r>
      <w:r>
        <w:rPr>
          <w:lang w:eastAsia="ru-RU"/>
        </w:rPr>
        <w:t xml:space="preserve">Оплата поставляемого Товара по настоящему Договору производится Заказчиком по факту поставки каждой партии Товара в течение </w:t>
      </w:r>
      <w:r>
        <w:rPr>
          <w:b/>
          <w:lang w:eastAsia="ru-RU"/>
        </w:rPr>
        <w:t>7 (семи) рабочих дней</w:t>
      </w:r>
      <w:r>
        <w:rPr>
          <w:lang w:eastAsia="ru-RU"/>
        </w:rPr>
        <w:t xml:space="preserve"> со дня получения Заказчиком от Поставщика счета-фактуры (счета), УПД выставленного согласно подписанной сторонами товарной накладной, путем перечисления денежных средств на расчетный счет Поставщика.</w:t>
      </w:r>
    </w:p>
    <w:p>
      <w:pPr>
        <w:pStyle w:val="13"/>
        <w:spacing w:lineRule="auto" w:line="27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iCs/>
          <w:sz w:val="24"/>
          <w:szCs w:val="24"/>
        </w:rPr>
        <w:t>Порядок и сроки оплаты</w:t>
      </w:r>
      <w:r>
        <w:rPr>
          <w:rFonts w:cs="Times New Roman" w:ascii="Times New Roman" w:hAnsi="Times New Roman"/>
          <w:b/>
          <w:sz w:val="24"/>
          <w:szCs w:val="24"/>
        </w:rPr>
        <w:t>:</w:t>
      </w:r>
      <w:r>
        <w:rPr>
          <w:rFonts w:cs="Times New Roman" w:ascii="Times New Roman" w:hAnsi="Times New Roman"/>
          <w:bCs/>
          <w:sz w:val="24"/>
          <w:szCs w:val="24"/>
        </w:rPr>
        <w:t xml:space="preserve"> </w:t>
      </w:r>
    </w:p>
    <w:p>
      <w:pPr>
        <w:pStyle w:val="Normal"/>
        <w:autoSpaceDE w:val="false"/>
        <w:ind w:firstLine="708" w:end="0"/>
        <w:jc w:val="both"/>
        <w:rPr/>
      </w:pPr>
      <w:r>
        <w:rPr>
          <w:b/>
          <w:bCs/>
        </w:rPr>
        <w:t xml:space="preserve">6.5. </w:t>
      </w:r>
      <w:r>
        <w:rPr>
          <w:b/>
        </w:rPr>
        <w:t>Сведения об участниках закупки и основание применения неконкурентной процедуры закупки</w:t>
      </w:r>
    </w:p>
    <w:p>
      <w:pPr>
        <w:pStyle w:val="Normal"/>
        <w:suppressAutoHyphens w:val="false"/>
        <w:rPr>
          <w:b/>
          <w:color w:val="FF0000"/>
          <w:lang w:eastAsia="ru-RU"/>
        </w:rPr>
      </w:pPr>
      <w:r>
        <w:rPr>
          <w:b/>
          <w:color w:val="FF0000"/>
          <w:lang w:eastAsia="ru-RU"/>
        </w:rPr>
      </w:r>
    </w:p>
    <w:p>
      <w:pPr>
        <w:pStyle w:val="12"/>
        <w:jc w:val="start"/>
        <w:rPr>
          <w:sz w:val="24"/>
          <w:szCs w:val="24"/>
        </w:rPr>
      </w:pPr>
      <w:r>
        <w:rPr>
          <w:sz w:val="24"/>
          <w:szCs w:val="24"/>
        </w:rPr>
        <w:t>Индивидуальный предприниматель</w:t>
      </w:r>
    </w:p>
    <w:p>
      <w:pPr>
        <w:pStyle w:val="12"/>
        <w:jc w:val="start"/>
        <w:rPr>
          <w:sz w:val="24"/>
          <w:szCs w:val="24"/>
        </w:rPr>
      </w:pPr>
      <w:r>
        <w:rPr>
          <w:sz w:val="24"/>
          <w:szCs w:val="24"/>
        </w:rPr>
        <w:t>Гусарова Мария Владимировна</w:t>
      </w:r>
    </w:p>
    <w:p>
      <w:pPr>
        <w:pStyle w:val="12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Юридический адрес: 169711, Республика Коми, г. Усинск, </w:t>
      </w:r>
    </w:p>
    <w:p>
      <w:pPr>
        <w:pStyle w:val="12"/>
        <w:ind w:start="35" w:end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ул. Парковая, д. 18, кв. 44 </w:t>
      </w:r>
    </w:p>
    <w:p>
      <w:pPr>
        <w:pStyle w:val="12"/>
        <w:ind w:start="35" w:end="0"/>
        <w:jc w:val="start"/>
        <w:rPr>
          <w:sz w:val="24"/>
          <w:szCs w:val="24"/>
        </w:rPr>
      </w:pPr>
      <w:r>
        <w:rPr>
          <w:sz w:val="24"/>
          <w:szCs w:val="24"/>
        </w:rPr>
        <w:t>ИНН  110604908700</w:t>
      </w:r>
    </w:p>
    <w:p>
      <w:pPr>
        <w:pStyle w:val="12"/>
        <w:ind w:start="35" w:end="0"/>
        <w:jc w:val="start"/>
        <w:rPr>
          <w:sz w:val="24"/>
          <w:szCs w:val="24"/>
        </w:rPr>
      </w:pPr>
      <w:r>
        <w:rPr>
          <w:sz w:val="24"/>
          <w:szCs w:val="24"/>
        </w:rPr>
        <w:t>ОГРНИП 313110617200011</w:t>
      </w:r>
    </w:p>
    <w:p>
      <w:pPr>
        <w:pStyle w:val="12"/>
        <w:ind w:start="35" w:end="0"/>
        <w:jc w:val="start"/>
        <w:rPr>
          <w:sz w:val="24"/>
          <w:szCs w:val="24"/>
        </w:rPr>
      </w:pPr>
      <w:r>
        <w:rPr>
          <w:sz w:val="24"/>
          <w:szCs w:val="24"/>
        </w:rPr>
        <w:t>БИК   048702640</w:t>
      </w:r>
    </w:p>
    <w:p>
      <w:pPr>
        <w:pStyle w:val="12"/>
        <w:ind w:start="35" w:end="0"/>
        <w:jc w:val="start"/>
        <w:rPr>
          <w:sz w:val="24"/>
          <w:szCs w:val="24"/>
        </w:rPr>
      </w:pPr>
      <w:r>
        <w:rPr>
          <w:sz w:val="24"/>
          <w:szCs w:val="24"/>
        </w:rPr>
        <w:t>р/с 40802810228140001724</w:t>
      </w:r>
    </w:p>
    <w:p>
      <w:pPr>
        <w:pStyle w:val="Normal"/>
        <w:rPr/>
      </w:pPr>
      <w:r>
        <w:rPr/>
        <w:t xml:space="preserve"> </w:t>
      </w:r>
      <w:r>
        <w:rPr/>
        <w:t>К/с  30101810400000000640</w:t>
      </w:r>
    </w:p>
    <w:p>
      <w:pPr>
        <w:pStyle w:val="Normal"/>
        <w:rPr/>
      </w:pPr>
      <w:r>
        <w:rPr/>
        <w:t>Коми ОСБ № 8617 г. Сыктывкар</w:t>
      </w:r>
    </w:p>
    <w:p>
      <w:pPr>
        <w:pStyle w:val="Normal"/>
        <w:rPr/>
      </w:pPr>
      <w:r>
        <w:rPr/>
        <w:t>Тел/факс 91295 99399</w:t>
      </w:r>
    </w:p>
    <w:p>
      <w:pPr>
        <w:pStyle w:val="Normal"/>
        <w:snapToGrid w:val="false"/>
        <w:jc w:val="center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autoSpaceDE w:val="false"/>
        <w:jc w:val="both"/>
        <w:rPr/>
      </w:pPr>
      <w:r>
        <w:rPr>
          <w:b/>
          <w:iCs/>
        </w:rPr>
        <w:t>Основание применения неконкурентной процедуры закупки:</w:t>
      </w:r>
      <w:r>
        <w:rPr>
          <w:i/>
          <w:iCs/>
        </w:rPr>
        <w:t xml:space="preserve"> </w:t>
      </w:r>
      <w:r>
        <w:rPr/>
        <w:t>п 7.5.) «Положения о закупке товаров, работ и услуг для нужд Муниципального автономного дошкольного образовательного учреждения "Детский сад общеразвивающего вида № 22" г. Усинска</w:t>
      </w:r>
    </w:p>
    <w:p>
      <w:pPr>
        <w:pStyle w:val="Normal"/>
        <w:autoSpaceDE w:val="false"/>
        <w:ind w:firstLine="708" w:end="0"/>
        <w:jc w:val="both"/>
        <w:rPr>
          <w:b/>
          <w:bCs/>
        </w:rPr>
      </w:pPr>
      <w:r>
        <w:rPr>
          <w:b/>
          <w:bCs/>
        </w:rPr>
        <w:t>7. Результаты заседания Комиссии</w:t>
      </w:r>
    </w:p>
    <w:p>
      <w:pPr>
        <w:pStyle w:val="Normal"/>
        <w:autoSpaceDE w:val="false"/>
        <w:ind w:firstLine="708" w:end="0"/>
        <w:jc w:val="both"/>
        <w:rPr/>
      </w:pPr>
      <w:r>
        <w:rPr>
          <w:b/>
          <w:bCs/>
        </w:rPr>
        <w:t xml:space="preserve">7.1. </w:t>
      </w:r>
      <w:r>
        <w:rPr/>
        <w:t xml:space="preserve">По результатам рассмотрения проекта Документации о закупке Комиссия </w:t>
      </w:r>
      <w:r>
        <w:rPr>
          <w:b/>
          <w:bCs/>
        </w:rPr>
        <w:t xml:space="preserve">приняла решение о признании обоснованным </w:t>
      </w:r>
      <w:r>
        <w:rPr/>
        <w:t>осуществление закупки у единственного поставщика (исполнителя, подрядчика) по основанию применения неконкурентной процедуры закупки, указанной в пункте 6.5 настоящего протокола.</w:t>
      </w:r>
    </w:p>
    <w:p>
      <w:pPr>
        <w:pStyle w:val="Normal"/>
        <w:autoSpaceDE w:val="false"/>
        <w:jc w:val="both"/>
        <w:rPr/>
      </w:pPr>
      <w:r>
        <w:rPr/>
        <w:t xml:space="preserve">Результаты голосования: </w:t>
      </w:r>
    </w:p>
    <w:p>
      <w:pPr>
        <w:pStyle w:val="Normal"/>
        <w:autoSpaceDE w:val="false"/>
        <w:jc w:val="both"/>
        <w:rPr/>
      </w:pPr>
      <w:r>
        <w:rPr/>
        <w:t xml:space="preserve">ЗА </w:t>
      </w:r>
      <w:r>
        <w:rPr>
          <w:color w:val="000000"/>
        </w:rPr>
        <w:t>— 5 (пять),</w:t>
      </w:r>
      <w:r>
        <w:rPr/>
        <w:t xml:space="preserve"> ПРОТИВ - нет, ВОЗДЕРЖАЛИСЬ - нет.</w:t>
      </w:r>
    </w:p>
    <w:p>
      <w:pPr>
        <w:pStyle w:val="Normal"/>
        <w:autoSpaceDE w:val="false"/>
        <w:ind w:firstLine="708" w:end="0"/>
        <w:jc w:val="both"/>
        <w:rPr/>
      </w:pPr>
      <w:r>
        <w:rPr>
          <w:b/>
          <w:bCs/>
        </w:rPr>
        <w:t xml:space="preserve">7.2. </w:t>
      </w:r>
      <w:r>
        <w:rPr/>
        <w:t xml:space="preserve">В соответствии с принятым решением Комиссия </w:t>
      </w:r>
      <w:r>
        <w:rPr>
          <w:b/>
          <w:bCs/>
        </w:rPr>
        <w:t xml:space="preserve">рекомендует </w:t>
      </w:r>
      <w:r>
        <w:rPr/>
        <w:t>Заказчику:</w:t>
      </w:r>
    </w:p>
    <w:p>
      <w:pPr>
        <w:pStyle w:val="Normal"/>
        <w:autoSpaceDE w:val="false"/>
        <w:jc w:val="both"/>
        <w:rPr/>
      </w:pPr>
      <w:r>
        <w:rPr>
          <w:b/>
          <w:bCs/>
        </w:rPr>
        <w:t xml:space="preserve">1) </w:t>
      </w:r>
      <w:r>
        <w:rPr>
          <w:b/>
        </w:rPr>
        <w:t>заключить договор</w:t>
      </w:r>
      <w:r>
        <w:rPr/>
        <w:t xml:space="preserve"> </w:t>
      </w:r>
      <w:r>
        <w:rPr>
          <w:bCs/>
        </w:rPr>
        <w:t xml:space="preserve">на условиях проекта договора с </w:t>
      </w:r>
      <w:r>
        <w:rPr>
          <w:b/>
          <w:bCs/>
        </w:rPr>
        <w:t>ИП Гусарова М.В.</w:t>
      </w:r>
    </w:p>
    <w:p>
      <w:pPr>
        <w:pStyle w:val="Normal"/>
        <w:autoSpaceDE w:val="false"/>
        <w:jc w:val="both"/>
        <w:rPr/>
      </w:pPr>
      <w:r>
        <w:rPr>
          <w:b/>
          <w:color w:val="FF0000"/>
        </w:rPr>
        <w:t xml:space="preserve"> </w:t>
      </w:r>
      <w:r>
        <w:rPr/>
        <w:t>Результаты голосования: ЗА — 5 (пять), ПРОТИВ - нет, ВОЗДЕРЖАЛИСЬ - нет.</w:t>
      </w:r>
    </w:p>
    <w:p>
      <w:pPr>
        <w:pStyle w:val="Normal"/>
        <w:autoSpaceDE w:val="false"/>
        <w:ind w:firstLine="708" w:end="0"/>
        <w:jc w:val="both"/>
        <w:rPr>
          <w:b/>
        </w:rPr>
      </w:pPr>
      <w:r>
        <w:rPr>
          <w:b/>
        </w:rPr>
        <w:t>8. Заключительная информация</w:t>
      </w:r>
    </w:p>
    <w:p>
      <w:pPr>
        <w:pStyle w:val="Normal"/>
        <w:autoSpaceDE w:val="false"/>
        <w:jc w:val="both"/>
        <w:rPr>
          <w:b/>
        </w:rPr>
      </w:pPr>
      <w:r>
        <w:rPr/>
        <w:t xml:space="preserve">Настоящий протокол размещается в единой информационной системе: </w:t>
      </w:r>
      <w:hyperlink r:id="rId2">
        <w:r>
          <w:rPr>
            <w:rStyle w:val="Hyperlink"/>
            <w:color w:val="000000"/>
          </w:rPr>
          <w:t>www.</w:t>
        </w:r>
        <w:r>
          <w:rPr>
            <w:rStyle w:val="Hyperlink"/>
            <w:color w:val="000000"/>
            <w:lang w:val="en-US"/>
          </w:rPr>
          <w:t>zakupki</w:t>
        </w:r>
        <w:r>
          <w:rPr>
            <w:rStyle w:val="Hyperlink"/>
            <w:color w:val="000000"/>
          </w:rPr>
          <w:t>.</w:t>
        </w:r>
        <w:r>
          <w:rPr>
            <w:rStyle w:val="Hyperlink"/>
            <w:color w:val="000000"/>
            <w:lang w:val="en-US"/>
          </w:rPr>
          <w:t>gov</w:t>
        </w:r>
        <w:r>
          <w:rPr>
            <w:rStyle w:val="Hyperlink"/>
            <w:color w:val="000000"/>
          </w:rPr>
          <w:t>.</w:t>
        </w:r>
        <w:r>
          <w:rPr>
            <w:rStyle w:val="Hyperlink"/>
            <w:color w:val="000000"/>
            <w:lang w:val="en-US"/>
          </w:rPr>
          <w:t>ru</w:t>
        </w:r>
      </w:hyperlink>
    </w:p>
    <w:p>
      <w:pPr>
        <w:pStyle w:val="Normal"/>
        <w:autoSpaceDE w:val="false"/>
        <w:jc w:val="both"/>
        <w:rPr>
          <w:color w:val="000000"/>
        </w:rPr>
      </w:pPr>
      <w:r>
        <w:rPr>
          <w:b/>
        </w:rPr>
        <w:t>ПОДПИСИ ЧЛЕНОВ КОМИССИИ:</w:t>
      </w:r>
    </w:p>
    <w:p>
      <w:pPr>
        <w:pStyle w:val="Normal"/>
        <w:tabs>
          <w:tab w:val="left" w:pos="708" w:leader="none"/>
        </w:tabs>
        <w:autoSpaceDE w:val="false"/>
        <w:jc w:val="both"/>
        <w:rPr>
          <w:color w:val="000000"/>
        </w:rPr>
      </w:pPr>
      <w:r>
        <w:rPr>
          <w:b/>
          <w:bCs/>
          <w:color w:val="000000"/>
        </w:rPr>
        <w:t>Председатель Комиссии</w:t>
        <w:tab/>
        <w:t xml:space="preserve"> _____________________ </w:t>
      </w:r>
      <w:r>
        <w:rPr>
          <w:color w:val="000000"/>
          <w:lang w:eastAsia="ru-RU"/>
        </w:rPr>
        <w:t>Фощей М.В.</w:t>
      </w:r>
    </w:p>
    <w:p>
      <w:pPr>
        <w:pStyle w:val="Normal"/>
        <w:tabs>
          <w:tab w:val="left" w:pos="708" w:leader="none"/>
        </w:tabs>
        <w:autoSpaceDE w:val="false"/>
        <w:jc w:val="both"/>
        <w:rPr>
          <w:color w:val="000000"/>
          <w:lang w:eastAsia="ru-RU"/>
        </w:rPr>
      </w:pPr>
      <w:r>
        <w:rPr>
          <w:b/>
          <w:bCs/>
          <w:color w:val="000000"/>
        </w:rPr>
        <w:t xml:space="preserve">Члены Комиссии _____________________________ </w:t>
      </w:r>
      <w:r>
        <w:rPr>
          <w:color w:val="000000"/>
          <w:lang w:eastAsia="ru-RU"/>
        </w:rPr>
        <w:t>Выучейская В.В.</w:t>
      </w:r>
    </w:p>
    <w:p>
      <w:pPr>
        <w:pStyle w:val="Normal"/>
        <w:tabs>
          <w:tab w:val="left" w:pos="708" w:leader="none"/>
        </w:tabs>
        <w:autoSpaceDE w:val="false"/>
        <w:jc w:val="both"/>
        <w:rPr>
          <w:color w:val="000000"/>
        </w:rPr>
      </w:pPr>
      <w:r>
        <w:rPr>
          <w:color w:val="000000"/>
        </w:rPr>
        <w:tab/>
        <w:tab/>
        <w:t xml:space="preserve">         _____________________________ Выучейская Ю.С.</w:t>
      </w:r>
    </w:p>
    <w:p>
      <w:pPr>
        <w:pStyle w:val="Normal"/>
        <w:tabs>
          <w:tab w:val="left" w:pos="708" w:leader="none"/>
        </w:tabs>
        <w:autoSpaceDE w:val="false"/>
        <w:jc w:val="both"/>
        <w:rPr>
          <w:color w:val="000000"/>
        </w:rPr>
      </w:pPr>
      <w:r>
        <w:rPr>
          <w:color w:val="000000"/>
        </w:rPr>
        <w:tab/>
        <w:tab/>
        <w:t xml:space="preserve">         _____________________________ </w:t>
      </w:r>
      <w:r>
        <w:rPr>
          <w:color w:val="000000"/>
          <w:lang w:eastAsia="ru-RU"/>
        </w:rPr>
        <w:t>Нетудыхата А.О.</w:t>
      </w:r>
    </w:p>
    <w:p>
      <w:pPr>
        <w:pStyle w:val="Normal"/>
        <w:tabs>
          <w:tab w:val="left" w:pos="708" w:leader="none"/>
        </w:tabs>
        <w:autoSpaceDE w:val="false"/>
        <w:rPr/>
      </w:pPr>
      <w:r>
        <w:rPr>
          <w:color w:val="000000"/>
        </w:rPr>
        <w:t xml:space="preserve">                                 </w:t>
      </w:r>
      <w:r>
        <w:rPr>
          <w:color w:val="000000"/>
        </w:rPr>
        <w:t xml:space="preserve">_____________________________ </w:t>
      </w:r>
      <w:r>
        <w:rPr>
          <w:color w:val="000000"/>
          <w:lang w:eastAsia="ru-RU"/>
        </w:rPr>
        <w:t>Панкратова М.Н.</w:t>
      </w:r>
    </w:p>
    <w:sectPr>
      <w:type w:val="nextPage"/>
      <w:pgSz w:w="11906" w:h="16838"/>
      <w:pgMar w:left="1701" w:right="850" w:gutter="0" w:header="0" w:top="709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cc" w:characterSet="windows-1251"/>
    <w:family w:val="roman"/>
    <w:pitch w:val="variable"/>
  </w:font>
  <w:font w:name="Wingdings">
    <w:charset w:val="02"/>
    <w:family w:val="auto"/>
    <w:pitch w:val="variable"/>
  </w:font>
  <w:font w:name="Courier New">
    <w:charset w:val="cc" w:characterSet="windows-1251"/>
    <w:family w:val="modern"/>
    <w:pitch w:val="default"/>
  </w:font>
  <w:font w:name="Segoe UI">
    <w:charset w:val="cc" w:characterSet="windows-1251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Liberation Sans">
    <w:altName w:val="Arial"/>
    <w:charset w:val="cc" w:characterSet="windows-1251"/>
    <w:family w:val="swiss"/>
    <w:pitch w:val="variable"/>
  </w:font>
  <w:font w:name="Calibri">
    <w:charset w:val="cc" w:characterSet="windows-1251"/>
    <w:family w:val="swiss"/>
    <w:pitch w:val="variable"/>
  </w:font>
  <w:font w:name="Arial">
    <w:charset w:val="cc" w:characterSet="windows-125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isplayBackgroundShape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</w:pPr>
    <w:rPr>
      <w:rFonts w:ascii="Times New Roman" w:hAnsi="Times New Roman" w:eastAsia="Times New Roman" w:cs="Times New Roman"/>
      <w:color w:val="auto"/>
      <w:sz w:val="24"/>
      <w:szCs w:val="24"/>
      <w:lang w:val="ru-RU" w:eastAsia="zh-CN" w:bidi="ar-SA"/>
    </w:rPr>
  </w:style>
  <w:style w:type="character" w:styleId="WW8Num1z0">
    <w:name w:val="WW8Num1z0"/>
    <w:qFormat/>
    <w:rPr>
      <w:b/>
      <w:color w:val="000000"/>
    </w:rPr>
  </w:style>
  <w:style w:type="character" w:styleId="WW8Num1z1">
    <w:name w:val="WW8Num1z1"/>
    <w:qFormat/>
    <w:rPr>
      <w:b w:val="false"/>
      <w:color w:val="000000"/>
    </w:rPr>
  </w:style>
  <w:style w:type="character" w:styleId="Style14">
    <w:name w:val="Основной шрифт абзаца"/>
    <w:qFormat/>
    <w:rPr/>
  </w:style>
  <w:style w:type="character" w:styleId="WW8Num1z2">
    <w:name w:val="WW8Num1z2"/>
    <w:qFormat/>
    <w:rPr>
      <w:rFonts w:ascii="Wingdings" w:hAnsi="Wingdings" w:cs="Wingdings"/>
    </w:rPr>
  </w:style>
  <w:style w:type="character" w:styleId="WW8Num2z0">
    <w:name w:val="WW8Num2z0"/>
    <w:qFormat/>
    <w:rPr>
      <w:rFonts w:ascii="Symbol" w:hAnsi="Symbol" w:cs="Symbol"/>
    </w:rPr>
  </w:style>
  <w:style w:type="character" w:styleId="WW8Num2z1">
    <w:name w:val="WW8Num2z1"/>
    <w:qFormat/>
    <w:rPr>
      <w:rFonts w:ascii="Courier New" w:hAnsi="Courier New" w:cs="Courier New"/>
    </w:rPr>
  </w:style>
  <w:style w:type="character" w:styleId="WW8Num2z2">
    <w:name w:val="WW8Num2z2"/>
    <w:qFormat/>
    <w:rPr>
      <w:rFonts w:ascii="Wingdings" w:hAnsi="Wingdings" w:cs="Wingdings"/>
    </w:rPr>
  </w:style>
  <w:style w:type="character" w:styleId="WW8Num3z0">
    <w:name w:val="WW8Num3z0"/>
    <w:qFormat/>
    <w:rPr>
      <w:rFonts w:ascii="Symbol" w:hAnsi="Symbol" w:cs="Symbol"/>
    </w:rPr>
  </w:style>
  <w:style w:type="character" w:styleId="WW8Num3z1">
    <w:name w:val="WW8Num3z1"/>
    <w:qFormat/>
    <w:rPr>
      <w:rFonts w:ascii="Courier New" w:hAnsi="Courier New" w:cs="Courier New"/>
    </w:rPr>
  </w:style>
  <w:style w:type="character" w:styleId="WW8Num3z2">
    <w:name w:val="WW8Num3z2"/>
    <w:qFormat/>
    <w:rPr>
      <w:rFonts w:ascii="Wingdings" w:hAnsi="Wingdings" w:cs="Wingdings"/>
    </w:rPr>
  </w:style>
  <w:style w:type="character" w:styleId="1">
    <w:name w:val="Основной шрифт абзаца1"/>
    <w:qFormat/>
    <w:rPr/>
  </w:style>
  <w:style w:type="character" w:styleId="Hyperlink">
    <w:name w:val="Hyperlink"/>
    <w:rPr>
      <w:color w:val="0000FF"/>
      <w:u w:val="single"/>
    </w:rPr>
  </w:style>
  <w:style w:type="character" w:styleId="Style15">
    <w:name w:val="Текст выноски Знак"/>
    <w:qFormat/>
    <w:rPr>
      <w:rFonts w:ascii="Segoe UI" w:hAnsi="Segoe UI" w:cs="Segoe UI"/>
      <w:sz w:val="18"/>
      <w:szCs w:val="18"/>
      <w:lang w:eastAsia="zh-CN"/>
    </w:rPr>
  </w:style>
  <w:style w:type="character" w:styleId="Style16">
    <w:name w:val="Основной текст_"/>
    <w:qFormat/>
    <w:rPr>
      <w:shd w:fill="FFFFFF" w:val="clear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Style17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;Arial" w:hAnsi="Liberation Sans;Arial" w:eastAsia="Microsoft YaHei" w:cs="Arial Unicode MS"/>
      <w:sz w:val="28"/>
      <w:szCs w:val="28"/>
    </w:rPr>
  </w:style>
  <w:style w:type="paragraph" w:styleId="Style18">
    <w:name w:val="Название объекта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11">
    <w:name w:val="Указатель1"/>
    <w:basedOn w:val="Normal"/>
    <w:qFormat/>
    <w:pPr>
      <w:suppressLineNumbers/>
    </w:pPr>
    <w:rPr>
      <w:rFonts w:cs="Arial Unicode MS"/>
    </w:rPr>
  </w:style>
  <w:style w:type="paragraph" w:styleId="Style19">
    <w:name w:val="Абзац списка"/>
    <w:basedOn w:val="Normal"/>
    <w:qFormat/>
    <w:pPr>
      <w:spacing w:before="0" w:after="0"/>
      <w:ind w:hanging="0" w:start="720" w:end="0"/>
      <w:contextualSpacing/>
    </w:pPr>
    <w:rPr/>
  </w:style>
  <w:style w:type="paragraph" w:styleId="Style20">
    <w:name w:val="Содержимое таблицы"/>
    <w:basedOn w:val="Normal"/>
    <w:qFormat/>
    <w:pPr>
      <w:suppressLineNumbers/>
    </w:pPr>
    <w:rPr/>
  </w:style>
  <w:style w:type="paragraph" w:styleId="Style21">
    <w:name w:val="Заголовок таблицы"/>
    <w:basedOn w:val="Style20"/>
    <w:qFormat/>
    <w:pPr>
      <w:suppressLineNumbers/>
      <w:jc w:val="center"/>
    </w:pPr>
    <w:rPr>
      <w:b/>
      <w:bCs/>
    </w:rPr>
  </w:style>
  <w:style w:type="paragraph" w:styleId="Style22">
    <w:name w:val="Текст выноски"/>
    <w:basedOn w:val="Normal"/>
    <w:qFormat/>
    <w:pPr/>
    <w:rPr>
      <w:rFonts w:ascii="Segoe UI" w:hAnsi="Segoe UI" w:cs="Segoe UI"/>
      <w:sz w:val="18"/>
      <w:szCs w:val="18"/>
    </w:rPr>
  </w:style>
  <w:style w:type="paragraph" w:styleId="12">
    <w:name w:val="Основной текст1"/>
    <w:basedOn w:val="Normal"/>
    <w:qFormat/>
    <w:pPr>
      <w:widowControl w:val="false"/>
      <w:shd w:fill="FFFFFF" w:val="clear"/>
      <w:suppressAutoHyphens w:val="false"/>
      <w:spacing w:lineRule="atLeast" w:line="0"/>
      <w:jc w:val="both"/>
    </w:pPr>
    <w:rPr>
      <w:sz w:val="20"/>
      <w:szCs w:val="20"/>
    </w:rPr>
  </w:style>
  <w:style w:type="paragraph" w:styleId="13">
    <w:name w:val="Без интервала1"/>
    <w:qFormat/>
    <w:pPr>
      <w:widowControl/>
      <w:suppressAutoHyphens w:val="true"/>
      <w:bidi w:val="0"/>
    </w:pPr>
    <w:rPr>
      <w:rFonts w:ascii="Calibri" w:hAnsi="Calibri" w:eastAsia="Calibri" w:cs="Calibri"/>
      <w:color w:val="auto"/>
      <w:sz w:val="22"/>
      <w:szCs w:val="22"/>
      <w:lang w:val="ru-RU" w:bidi="ar-SA" w:eastAsia="zh-CN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://www.zakupki.gov.ru/" TargetMode="Externa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Application>LibreOffice/25.8.3.2$Linux_X86_64 LibreOffice_project/580$Build-2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2024-12-16T06:15:00Z</dcterms:created>
  <dc:creator>Попова Анна Ивановна</dc:creator>
  <dc:description/>
  <cp:keywords/>
  <dc:language>en-US</dc:language>
  <cp:lastModifiedBy>Пользователь</cp:lastModifiedBy>
  <cp:lastPrinted>2025-03-03T14:27:00Z</cp:lastPrinted>
  <dcterms:modified xsi:type="dcterms:W3CDTF">2025-03-03T11:28:00Z</dcterms:modified>
  <cp:revision>11</cp:revision>
  <dc:subject/>
  <dc:title/>
</cp:coreProperties>
</file>