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b/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6379210" cy="1905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" t="-48" r="-14" b="-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21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lang w:val="en-US" w:eastAsia="en-US"/>
        </w:rPr>
      </w:pPr>
      <w:r>
        <w:rPr>
          <w:b/>
          <w:lang w:val="en-US" w:eastAsia="en-US"/>
        </w:rPr>
      </w:r>
    </w:p>
    <w:p>
      <w:pPr>
        <w:pStyle w:val="Normal"/>
        <w:jc w:val="center"/>
        <w:rPr>
          <w:b/>
        </w:rPr>
      </w:pPr>
      <w:r>
        <w:rPr>
          <w:b/>
        </w:rPr>
        <w:t xml:space="preserve">ПРОТОКОЛ ПРИЗНАНИЯ АУКЦИОНА В ЭЛЕКТРОННОЙ ФОРМЕ НЕСОСТОЯВШИМСЯ </w:t>
      </w:r>
    </w:p>
    <w:tbl>
      <w:tblPr>
        <w:tblW w:w="102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52"/>
        <w:gridCol w:w="2425"/>
        <w:gridCol w:w="2426"/>
        <w:gridCol w:w="2676"/>
      </w:tblGrid>
      <w:tr>
        <w:trPr/>
        <w:tc>
          <w:tcPr>
            <w:tcW w:w="2752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г. Санкт-Петербург</w:t>
            </w:r>
          </w:p>
        </w:tc>
        <w:tc>
          <w:tcPr>
            <w:tcW w:w="242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26" w:type="dxa"/>
            <w:tcBorders/>
          </w:tcPr>
          <w:p>
            <w:pPr>
              <w:pStyle w:val="Normal"/>
              <w:tabs>
                <w:tab w:val="clear" w:pos="708"/>
                <w:tab w:val="left" w:pos="105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2676" w:type="dxa"/>
            <w:tcBorders/>
          </w:tcPr>
          <w:p>
            <w:pPr>
              <w:pStyle w:val="Normal"/>
              <w:tabs>
                <w:tab w:val="clear" w:pos="708"/>
                <w:tab w:val="left" w:pos="1050" w:leader="none"/>
              </w:tabs>
              <w:snapToGrid w:val="false"/>
              <w:jc w:val="both"/>
              <w:rPr/>
            </w:pPr>
            <w:r>
              <w:rPr/>
            </w:r>
          </w:p>
          <w:p>
            <w:pPr>
              <w:pStyle w:val="Normal"/>
              <w:tabs>
                <w:tab w:val="clear" w:pos="708"/>
                <w:tab w:val="left" w:pos="1050" w:leader="none"/>
              </w:tabs>
              <w:jc w:val="both"/>
              <w:rPr/>
            </w:pPr>
            <w:r>
              <w:rPr/>
              <w:t xml:space="preserve">    </w:t>
            </w:r>
            <w:r>
              <w:rPr/>
              <w:t>«</w:t>
            </w:r>
            <w:r>
              <w:rPr>
                <w:lang w:val="en-US"/>
              </w:rPr>
              <w:t>28</w:t>
            </w:r>
            <w:r>
              <w:rPr/>
              <w:t>»</w:t>
            </w:r>
            <w:r>
              <w:rPr>
                <w:lang w:val="en-US"/>
              </w:rPr>
              <w:t xml:space="preserve"> </w:t>
            </w:r>
            <w:r>
              <w:rPr/>
              <w:t>февраля 2025 г.</w:t>
            </w:r>
          </w:p>
        </w:tc>
      </w:tr>
    </w:tbl>
    <w:p>
      <w:pPr>
        <w:pStyle w:val="Normal"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tbl>
      <w:tblPr>
        <w:tblW w:w="101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5351"/>
      </w:tblGrid>
      <w:tr>
        <w:trPr>
          <w:trHeight w:val="1088" w:hRule="atLeast"/>
        </w:trPr>
        <w:tc>
          <w:tcPr>
            <w:tcW w:w="4786" w:type="dxa"/>
            <w:tcBorders/>
          </w:tcPr>
          <w:p>
            <w:pPr>
              <w:pStyle w:val="Normal"/>
              <w:snapToGrid w:val="false"/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</w:r>
          </w:p>
          <w:p>
            <w:pPr>
              <w:pStyle w:val="Normal"/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 xml:space="preserve">Наименование предмета закупки: </w:t>
            </w:r>
          </w:p>
          <w:p>
            <w:pPr>
              <w:pStyle w:val="Normal"/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</w:r>
          </w:p>
        </w:tc>
        <w:tc>
          <w:tcPr>
            <w:tcW w:w="5351" w:type="dxa"/>
            <w:tcBorders/>
          </w:tcPr>
          <w:p>
            <w:pPr>
              <w:pStyle w:val="Normal"/>
              <w:jc w:val="both"/>
              <w:rPr>
                <w:rFonts w:eastAsia="Calibri"/>
                <w:spacing w:val="-10"/>
                <w:lang w:eastAsia="en-US"/>
              </w:rPr>
            </w:pPr>
            <w:r>
              <w:rPr>
                <w:rFonts w:eastAsia="Calibri"/>
                <w:spacing w:val="-10"/>
                <w:lang w:eastAsia="en-US"/>
              </w:rPr>
              <w:t>Оказание услуг спутниковой связи для нужд Архангельского центра ОВД филиала «Аэронавигация Северо-Запада» ФГУП «Госкорпорация по ОрВД»</w:t>
            </w:r>
          </w:p>
        </w:tc>
      </w:tr>
      <w:tr>
        <w:trPr/>
        <w:tc>
          <w:tcPr>
            <w:tcW w:w="4786" w:type="dxa"/>
            <w:tcBorders/>
          </w:tcPr>
          <w:p>
            <w:pPr>
              <w:pStyle w:val="Normal"/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Начальная (максимальная) цена договора</w:t>
            </w:r>
          </w:p>
        </w:tc>
        <w:tc>
          <w:tcPr>
            <w:tcW w:w="5351" w:type="dxa"/>
            <w:tcBorders/>
          </w:tcPr>
          <w:p>
            <w:pPr>
              <w:pStyle w:val="Normal"/>
              <w:shd w:fill="FFFFFF" w:val="clear"/>
              <w:textAlignment w:val="baseline"/>
              <w:rPr/>
            </w:pPr>
            <w:r>
              <w:rPr>
                <w:color w:val="000000"/>
              </w:rPr>
              <w:t xml:space="preserve">19 840 000,00 </w:t>
            </w:r>
            <w:r>
              <w:rPr>
                <w:rFonts w:eastAsia="Calibri"/>
                <w:lang w:eastAsia="en-US"/>
              </w:rPr>
              <w:t>руб.</w:t>
            </w:r>
          </w:p>
        </w:tc>
      </w:tr>
      <w:tr>
        <w:trPr/>
        <w:tc>
          <w:tcPr>
            <w:tcW w:w="4786" w:type="dxa"/>
            <w:tcBorders/>
          </w:tcPr>
          <w:p>
            <w:pPr>
              <w:pStyle w:val="Normal"/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Срок исполнения договора</w:t>
            </w:r>
          </w:p>
        </w:tc>
        <w:tc>
          <w:tcPr>
            <w:tcW w:w="5351" w:type="dxa"/>
            <w:tcBorders/>
          </w:tcPr>
          <w:p>
            <w:pPr>
              <w:pStyle w:val="Normal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Ноябрь 2027</w:t>
            </w:r>
          </w:p>
        </w:tc>
      </w:tr>
      <w:tr>
        <w:trPr/>
        <w:tc>
          <w:tcPr>
            <w:tcW w:w="4786" w:type="dxa"/>
            <w:tcBorders/>
          </w:tcPr>
          <w:p>
            <w:pPr>
              <w:pStyle w:val="Normal"/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Номер извещения</w:t>
            </w:r>
          </w:p>
        </w:tc>
        <w:tc>
          <w:tcPr>
            <w:tcW w:w="5351" w:type="dxa"/>
            <w:tcBorders/>
          </w:tcPr>
          <w:p>
            <w:pPr>
              <w:pStyle w:val="Normal"/>
              <w:rPr/>
            </w:pPr>
            <w:r>
              <w:rPr/>
              <w:t>32514462504</w:t>
            </w:r>
          </w:p>
        </w:tc>
      </w:tr>
      <w:tr>
        <w:trPr/>
        <w:tc>
          <w:tcPr>
            <w:tcW w:w="4786" w:type="dxa"/>
            <w:tcBorders/>
          </w:tcPr>
          <w:p>
            <w:pPr>
              <w:pStyle w:val="Normal"/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Дата и время проведения этапа процедуры</w:t>
            </w:r>
          </w:p>
        </w:tc>
        <w:tc>
          <w:tcPr>
            <w:tcW w:w="5351" w:type="dxa"/>
            <w:tcBorders/>
          </w:tcPr>
          <w:p>
            <w:pPr>
              <w:pStyle w:val="Normal"/>
              <w:jc w:val="both"/>
              <w:rPr/>
            </w:pPr>
            <w:r>
              <w:rPr/>
              <w:t>28.02.2025 в 10:00</w:t>
            </w:r>
          </w:p>
        </w:tc>
      </w:tr>
      <w:tr>
        <w:trPr/>
        <w:tc>
          <w:tcPr>
            <w:tcW w:w="4786" w:type="dxa"/>
            <w:tcBorders/>
          </w:tcPr>
          <w:p>
            <w:pPr>
              <w:pStyle w:val="Normal"/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Объем закупаемых товаров, работ, услуг</w:t>
            </w:r>
          </w:p>
        </w:tc>
        <w:tc>
          <w:tcPr>
            <w:tcW w:w="5351" w:type="dxa"/>
            <w:tcBorders/>
          </w:tcPr>
          <w:p>
            <w:pPr>
              <w:pStyle w:val="Normal"/>
              <w:jc w:val="both"/>
              <w:rPr/>
            </w:pPr>
            <w:r>
              <w:rPr/>
              <w:t>в соответствии с извещением о закупке</w:t>
            </w:r>
          </w:p>
        </w:tc>
      </w:tr>
      <w:tr>
        <w:trPr/>
        <w:tc>
          <w:tcPr>
            <w:tcW w:w="4786" w:type="dxa"/>
            <w:tcBorders/>
          </w:tcPr>
          <w:p>
            <w:pPr>
              <w:pStyle w:val="Normal"/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Место проведения этапа процедуры</w:t>
            </w:r>
          </w:p>
        </w:tc>
        <w:tc>
          <w:tcPr>
            <w:tcW w:w="5351" w:type="dxa"/>
            <w:tcBorders/>
          </w:tcPr>
          <w:p>
            <w:pPr>
              <w:pStyle w:val="Normal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г. Санкт-Петербург, 10 линия Васильевского острова, дом 53 литер «А», каб. № 206</w:t>
            </w:r>
          </w:p>
          <w:p>
            <w:pPr>
              <w:pStyle w:val="Normal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</w:r>
          </w:p>
        </w:tc>
      </w:tr>
    </w:tbl>
    <w:p>
      <w:pPr>
        <w:pStyle w:val="Normal"/>
        <w:jc w:val="both"/>
        <w:rPr>
          <w:rFonts w:eastAsia="Calibri"/>
          <w:b/>
          <w:sz w:val="22"/>
          <w:szCs w:val="22"/>
          <w:lang w:eastAsia="en-US"/>
        </w:rPr>
      </w:pPr>
      <w:r>
        <w:rPr/>
        <w:t>Комиссия по осуществлению закупок товаров, работ, услуг (далее – Комиссия) действует на основании Положения о комиссии по осуществлению закупок товаров, работ, услуг для нужд филиала «Аэронавигация Северо-Запада» ФГУП «Госкорпорация по ОрВД», Положения о закупке товаров, работ, услуг ФГУП «Госкорпорация по ОрВД» (далее – Положение) и Федерального закона от 18.07.2011 № 223-ФЗ «О закупках товаров, работ, услуг отдельными видами юридических лиц».</w:t>
      </w:r>
    </w:p>
    <w:p>
      <w:pPr>
        <w:pStyle w:val="Normal"/>
        <w:jc w:val="both"/>
        <w:rPr>
          <w:rFonts w:eastAsia="Calibri"/>
          <w:b/>
          <w:sz w:val="22"/>
          <w:szCs w:val="22"/>
          <w:lang w:eastAsia="en-US"/>
        </w:rPr>
      </w:pPr>
      <w:r>
        <w:rPr>
          <w:rFonts w:eastAsia="Calibri"/>
          <w:b/>
          <w:sz w:val="22"/>
          <w:szCs w:val="22"/>
          <w:lang w:eastAsia="en-US"/>
        </w:rPr>
      </w:r>
    </w:p>
    <w:p>
      <w:pPr>
        <w:pStyle w:val="Normal"/>
        <w:jc w:val="both"/>
        <w:rPr/>
      </w:pPr>
      <w:r>
        <w:rPr>
          <w:rFonts w:eastAsia="Calibri"/>
          <w:b/>
          <w:sz w:val="22"/>
          <w:szCs w:val="22"/>
          <w:lang w:eastAsia="en-US"/>
        </w:rPr>
        <w:t>Н</w:t>
      </w:r>
      <w:r>
        <w:rPr>
          <w:rFonts w:eastAsia="Calibri"/>
          <w:b/>
          <w:lang w:eastAsia="en-US"/>
        </w:rPr>
        <w:t>а заседании комиссии присутствовали</w:t>
      </w:r>
      <w:r>
        <w:rPr>
          <w:rFonts w:eastAsia="Calibri"/>
          <w:lang w:eastAsia="en-US"/>
        </w:rPr>
        <w:t>:</w:t>
      </w:r>
    </w:p>
    <w:p>
      <w:pPr>
        <w:pStyle w:val="Normal"/>
        <w:jc w:val="both"/>
        <w:rPr>
          <w:lang w:eastAsia="ru-RU"/>
        </w:rPr>
      </w:pPr>
      <w:r>
        <w:rPr>
          <w:lang w:eastAsia="ru-RU"/>
        </w:rPr>
        <w:t xml:space="preserve">Заместитель председателя комиссии </w:t>
        <w:tab/>
        <w:t xml:space="preserve">                Терпелюк Виктория Богдановна </w:t>
      </w:r>
    </w:p>
    <w:p>
      <w:pPr>
        <w:pStyle w:val="Normal"/>
        <w:suppressAutoHyphens w:val="false"/>
        <w:jc w:val="both"/>
        <w:rPr/>
      </w:pPr>
      <w:r>
        <w:rPr>
          <w:lang w:eastAsia="ru-RU"/>
        </w:rPr>
        <w:t>Член комиссии                                                             Мальцев Глеб Олегович</w:t>
      </w:r>
    </w:p>
    <w:p>
      <w:pPr>
        <w:pStyle w:val="Normal"/>
        <w:suppressAutoHyphens w:val="false"/>
        <w:jc w:val="both"/>
        <w:rPr>
          <w:lang w:eastAsia="ru-RU"/>
        </w:rPr>
      </w:pPr>
      <w:r>
        <w:rPr>
          <w:lang w:eastAsia="ru-RU"/>
        </w:rPr>
        <w:t>Член комиссии</w:t>
        <w:tab/>
        <w:t xml:space="preserve">                                                    Федюнин Александр Сергеевич </w:t>
      </w:r>
    </w:p>
    <w:p>
      <w:pPr>
        <w:pStyle w:val="Normal"/>
        <w:suppressAutoHyphens w:val="false"/>
        <w:jc w:val="both"/>
        <w:rPr>
          <w:lang w:eastAsia="ru-RU"/>
        </w:rPr>
      </w:pPr>
      <w:r>
        <w:rPr>
          <w:lang w:eastAsia="ru-RU"/>
        </w:rPr>
        <w:t>Член комиссии</w:t>
        <w:tab/>
        <w:t xml:space="preserve">                                                    Чечеваткина Юля Александровна </w:t>
      </w:r>
    </w:p>
    <w:tbl>
      <w:tblPr>
        <w:tblpPr w:vertAnchor="text" w:horzAnchor="margin" w:rightFromText="180" w:tblpX="0" w:tblpY="62"/>
        <w:tblW w:w="946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219"/>
      </w:tblGrid>
      <w:tr>
        <w:trPr/>
        <w:tc>
          <w:tcPr>
            <w:tcW w:w="5245" w:type="dxa"/>
            <w:tcBorders/>
          </w:tcPr>
          <w:p>
            <w:pPr>
              <w:pStyle w:val="Normal"/>
              <w:suppressAutoHyphens w:val="false"/>
              <w:rPr>
                <w:lang w:eastAsia="ru-RU"/>
              </w:rPr>
            </w:pPr>
            <w:r>
              <w:rPr>
                <w:lang w:eastAsia="ru-RU"/>
              </w:rPr>
              <w:t>Член комиссии</w:t>
            </w:r>
          </w:p>
        </w:tc>
        <w:tc>
          <w:tcPr>
            <w:tcW w:w="4219" w:type="dxa"/>
            <w:tcBorders/>
          </w:tcPr>
          <w:p>
            <w:pPr>
              <w:pStyle w:val="Normal"/>
              <w:suppressAutoHyphens w:val="false"/>
              <w:rPr>
                <w:lang w:eastAsia="ru-RU"/>
              </w:rPr>
            </w:pPr>
            <w:r>
              <w:rPr>
                <w:lang w:eastAsia="ru-RU"/>
              </w:rPr>
              <w:t xml:space="preserve">Шуварова Марина Анатольевна </w:t>
            </w:r>
          </w:p>
        </w:tc>
      </w:tr>
      <w:tr>
        <w:trPr/>
        <w:tc>
          <w:tcPr>
            <w:tcW w:w="5245" w:type="dxa"/>
            <w:tcBorders/>
          </w:tcPr>
          <w:p>
            <w:pPr>
              <w:pStyle w:val="Normal"/>
              <w:suppressAutoHyphens w:val="false"/>
              <w:snapToGrid w:val="false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W w:w="4219" w:type="dxa"/>
            <w:tcBorders/>
          </w:tcPr>
          <w:p>
            <w:pPr>
              <w:pStyle w:val="Normal"/>
              <w:suppressAutoHyphens w:val="false"/>
              <w:snapToGrid w:val="false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</w:tbl>
    <w:p>
      <w:pPr>
        <w:pStyle w:val="Normal"/>
        <w:suppressAutoHyphens w:val="false"/>
        <w:jc w:val="both"/>
        <w:rPr>
          <w:lang w:eastAsia="ru-RU"/>
        </w:rPr>
      </w:pPr>
      <w:r>
        <w:rPr>
          <w:lang w:eastAsia="ru-RU"/>
        </w:rPr>
        <w:t xml:space="preserve"> </w:t>
      </w:r>
    </w:p>
    <w:tbl>
      <w:tblPr>
        <w:tblpPr w:vertAnchor="text" w:horzAnchor="margin" w:rightFromText="180" w:tblpX="0" w:tblpY="74"/>
        <w:tblW w:w="946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219"/>
      </w:tblGrid>
      <w:tr>
        <w:trPr/>
        <w:tc>
          <w:tcPr>
            <w:tcW w:w="5245" w:type="dxa"/>
            <w:tcBorders/>
          </w:tcPr>
          <w:p>
            <w:pPr>
              <w:pStyle w:val="Normal"/>
              <w:suppressAutoHyphens w:val="false"/>
              <w:rPr>
                <w:lang w:eastAsia="ru-RU"/>
              </w:rPr>
            </w:pPr>
            <w:r>
              <w:rPr>
                <w:lang w:eastAsia="ru-RU"/>
              </w:rPr>
              <w:t>Секретарь комиссии (с правом голоса)</w:t>
            </w:r>
          </w:p>
        </w:tc>
        <w:tc>
          <w:tcPr>
            <w:tcW w:w="4219" w:type="dxa"/>
            <w:tcBorders/>
          </w:tcPr>
          <w:p>
            <w:pPr>
              <w:pStyle w:val="Normal"/>
              <w:suppressAutoHyphens w:val="false"/>
              <w:rPr>
                <w:lang w:eastAsia="ru-RU"/>
              </w:rPr>
            </w:pPr>
            <w:r>
              <w:rPr>
                <w:lang w:eastAsia="ru-RU"/>
              </w:rPr>
              <w:t xml:space="preserve">Шерстнева Татьяна Ивановна </w:t>
            </w:r>
          </w:p>
        </w:tc>
      </w:tr>
    </w:tbl>
    <w:p>
      <w:pPr>
        <w:pStyle w:val="Normal"/>
        <w:tabs>
          <w:tab w:val="clear" w:pos="708"/>
          <w:tab w:val="center" w:pos="5031" w:leader="none"/>
        </w:tabs>
        <w:jc w:val="both"/>
        <w:rPr>
          <w:rFonts w:eastAsia="Calibri"/>
          <w:b/>
          <w:sz w:val="22"/>
          <w:szCs w:val="22"/>
          <w:lang w:eastAsia="en-US"/>
        </w:rPr>
      </w:pPr>
      <w:r>
        <w:rPr>
          <w:rFonts w:eastAsia="Calibri"/>
          <w:b/>
          <w:sz w:val="22"/>
          <w:szCs w:val="22"/>
          <w:lang w:eastAsia="en-US"/>
        </w:rPr>
      </w:r>
    </w:p>
    <w:p>
      <w:pPr>
        <w:pStyle w:val="Normal"/>
        <w:jc w:val="both"/>
        <w:rPr>
          <w:rFonts w:eastAsia="Calibri"/>
          <w:b/>
          <w:sz w:val="22"/>
          <w:szCs w:val="22"/>
          <w:lang w:eastAsia="en-US"/>
        </w:rPr>
      </w:pPr>
      <w:r>
        <w:rPr>
          <w:rFonts w:eastAsia="Calibri"/>
          <w:b/>
          <w:sz w:val="22"/>
          <w:szCs w:val="22"/>
          <w:lang w:eastAsia="en-US"/>
        </w:rPr>
      </w:r>
    </w:p>
    <w:p>
      <w:pPr>
        <w:pStyle w:val="Normal"/>
        <w:jc w:val="both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>Количество присутствовавших членов комиссии:</w:t>
      </w:r>
      <w:r>
        <w:rPr>
          <w:rFonts w:eastAsia="Calibri"/>
          <w:lang w:eastAsia="en-US"/>
        </w:rPr>
        <w:t xml:space="preserve"> 6 из 7. Кворум имеется Комиссия правомочна осуществлять свои функции в соответствии со статьей 9 Положения о закупке товаров, работ, услуг ФГУП «Госкорпорация по ОрВД».</w:t>
      </w:r>
    </w:p>
    <w:p>
      <w:pPr>
        <w:pStyle w:val="Normal"/>
        <w:jc w:val="both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</w:r>
    </w:p>
    <w:p>
      <w:pPr>
        <w:pStyle w:val="Normal"/>
        <w:jc w:val="both"/>
        <w:rPr>
          <w:rFonts w:eastAsia="Calibri"/>
          <w:sz w:val="22"/>
          <w:szCs w:val="22"/>
        </w:rPr>
      </w:pPr>
      <w:r>
        <w:rPr/>
        <w:t xml:space="preserve"> </w:t>
      </w:r>
      <w:r>
        <w:rPr>
          <w:rFonts w:eastAsia="Calibri"/>
          <w:b/>
        </w:rPr>
        <w:t>Количество заявок, поданных до даты и времени окончания срока подачи заявок, указанного в извещении</w:t>
      </w:r>
      <w:r>
        <w:rPr>
          <w:rFonts w:eastAsia="Calibri"/>
        </w:rPr>
        <w:t>: 1 (одна), из них отклонено – 0 (ноль).</w:t>
      </w:r>
    </w:p>
    <w:p>
      <w:pPr>
        <w:pStyle w:val="Normal"/>
        <w:jc w:val="both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</w:r>
    </w:p>
    <w:p>
      <w:pPr>
        <w:pStyle w:val="Normal"/>
        <w:jc w:val="both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</w:r>
    </w:p>
    <w:tbl>
      <w:tblPr>
        <w:tblW w:w="93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"/>
        <w:gridCol w:w="3684"/>
        <w:gridCol w:w="2694"/>
        <w:gridCol w:w="2126"/>
      </w:tblGrid>
      <w:tr>
        <w:trPr>
          <w:trHeight w:val="1266" w:hRule="atLeast"/>
          <w:cantSplit w:val="true"/>
        </w:trPr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Normal"/>
              <w:ind w:start="113" w:end="113"/>
              <w:jc w:val="center"/>
              <w:rPr/>
            </w:pPr>
            <w:r>
              <w:rPr>
                <w:rFonts w:eastAsia="Calibri"/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заявки</w:t>
            </w:r>
          </w:p>
        </w:tc>
        <w:tc>
          <w:tcPr>
            <w:tcW w:w="3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start="9" w:end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Наименование организации Участника </w:t>
            </w:r>
          </w:p>
          <w:p>
            <w:pPr>
              <w:pStyle w:val="Normal"/>
              <w:spacing w:before="0" w:after="0"/>
              <w:ind w:start="9" w:end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ИНН/КПП</w:t>
            </w:r>
          </w:p>
          <w:p>
            <w:pPr>
              <w:pStyle w:val="Normal"/>
              <w:spacing w:before="0" w:after="0"/>
              <w:ind w:firstLine="1" w:start="8" w:end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Дата и время</w:t>
            </w:r>
          </w:p>
          <w:p>
            <w:pPr>
              <w:pStyle w:val="Normal"/>
              <w:spacing w:before="0" w:after="0"/>
              <w:ind w:firstLine="1" w:start="8" w:end="0"/>
              <w:contextualSpacing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регистрации заявки</w:t>
            </w:r>
          </w:p>
          <w:p>
            <w:pPr>
              <w:pStyle w:val="Normal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(Мск)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Результат рассмотрения заявок на участие в закупке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Основания отклонения заявки на участие в закупке</w:t>
            </w:r>
          </w:p>
          <w:p>
            <w:pPr>
              <w:pStyle w:val="Normal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</w:p>
        </w:tc>
      </w:tr>
      <w:tr>
        <w:trPr>
          <w:trHeight w:val="1222" w:hRule="atLeast"/>
          <w:cantSplit w:val="true"/>
        </w:trPr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АО «РЭЙС ТЕЛЕКОМ»</w:t>
            </w:r>
          </w:p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ИНН </w:t>
            </w:r>
            <w:r>
              <w:rPr>
                <w:szCs w:val="22"/>
              </w:rPr>
              <w:t>7736174792</w:t>
            </w:r>
          </w:p>
          <w:p>
            <w:pPr>
              <w:pStyle w:val="Normal"/>
              <w:jc w:val="center"/>
              <w:rPr/>
            </w:pPr>
            <w:r>
              <w:rPr>
                <w:szCs w:val="22"/>
              </w:rPr>
              <w:t xml:space="preserve">КПП </w:t>
            </w:r>
            <w:r>
              <w:rPr>
                <w:szCs w:val="22"/>
              </w:rPr>
              <w:t>771701001</w:t>
            </w:r>
          </w:p>
          <w:p>
            <w:pPr>
              <w:pStyle w:val="Style28"/>
              <w:jc w:val="center"/>
              <w:rPr/>
            </w:pPr>
            <w:r>
              <w:rPr/>
              <w:t>10.02.2025 12:17:40</w:t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Соответствует требованиям/допустить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-</w:t>
            </w:r>
          </w:p>
        </w:tc>
      </w:tr>
    </w:tbl>
    <w:p>
      <w:pPr>
        <w:pStyle w:val="Normal"/>
        <w:jc w:val="both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</w:r>
    </w:p>
    <w:p>
      <w:pPr>
        <w:pStyle w:val="Style29"/>
        <w:tabs>
          <w:tab w:val="clear" w:pos="708"/>
          <w:tab w:val="left" w:pos="567" w:leader="none"/>
        </w:tabs>
        <w:ind w:start="0" w:end="-143"/>
        <w:jc w:val="both"/>
        <w:rPr/>
      </w:pPr>
      <w:r>
        <w:rPr>
          <w:rFonts w:eastAsia="Times New Roman" w:cs="Times New Roman" w:ascii="Times New Roman" w:hAnsi="Times New Roman"/>
        </w:rPr>
        <w:tab/>
      </w:r>
      <w:r>
        <w:rPr>
          <w:rFonts w:eastAsia="Calibri" w:cs="Times New Roman" w:ascii="Times New Roman" w:hAnsi="Times New Roman"/>
        </w:rPr>
        <w:t>В соответствии с</w:t>
      </w:r>
      <w:r>
        <w:rPr>
          <w:rFonts w:cs="Times New Roman" w:ascii="Times New Roman" w:hAnsi="Times New Roman"/>
        </w:rPr>
        <w:t xml:space="preserve"> </w:t>
      </w:r>
      <w:r>
        <w:rPr>
          <w:rFonts w:eastAsia="Calibri" w:cs="Times New Roman" w:ascii="Times New Roman" w:hAnsi="Times New Roman"/>
        </w:rPr>
        <w:t>частью 1 статьи 24 Положения о закупке товаров, работ, услуг ФГУП «Госкорпорация по ОрВД»</w:t>
      </w:r>
    </w:p>
    <w:p>
      <w:pPr>
        <w:pStyle w:val="Style29"/>
        <w:tabs>
          <w:tab w:val="clear" w:pos="708"/>
          <w:tab w:val="left" w:pos="567" w:leader="none"/>
        </w:tabs>
        <w:ind w:start="0" w:end="-143"/>
        <w:jc w:val="both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Normal"/>
        <w:spacing w:before="0" w:after="120"/>
        <w:ind w:firstLine="709" w:end="0"/>
        <w:jc w:val="both"/>
        <w:rPr>
          <w:rFonts w:eastAsia="Calibri"/>
          <w:color w:val="000000"/>
        </w:rPr>
      </w:pPr>
      <w:r>
        <w:rPr>
          <w:rFonts w:eastAsia="Calibri"/>
          <w:b/>
        </w:rPr>
        <w:t>Комиссия приняла решение:</w:t>
      </w:r>
    </w:p>
    <w:p>
      <w:pPr>
        <w:pStyle w:val="Style29"/>
        <w:numPr>
          <w:ilvl w:val="0"/>
          <w:numId w:val="1"/>
        </w:numPr>
        <w:tabs>
          <w:tab w:val="clear" w:pos="708"/>
          <w:tab w:val="left" w:pos="1134" w:leader="none"/>
        </w:tabs>
        <w:ind w:firstLine="708" w:start="0" w:end="-143"/>
        <w:jc w:val="both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 xml:space="preserve">Признать закупку </w:t>
      </w:r>
      <w:r>
        <w:rPr>
          <w:rFonts w:eastAsia="Calibri" w:cs="Times New Roman" w:ascii="Times New Roman" w:hAnsi="Times New Roman"/>
          <w:b/>
        </w:rPr>
        <w:t>несостоявшейся</w:t>
      </w:r>
      <w:r>
        <w:rPr>
          <w:rFonts w:eastAsia="Calibri" w:cs="Times New Roman" w:ascii="Times New Roman" w:hAnsi="Times New Roman"/>
        </w:rPr>
        <w:t>.</w:t>
      </w:r>
    </w:p>
    <w:p>
      <w:pPr>
        <w:pStyle w:val="Style29"/>
        <w:numPr>
          <w:ilvl w:val="0"/>
          <w:numId w:val="1"/>
        </w:numPr>
        <w:tabs>
          <w:tab w:val="clear" w:pos="708"/>
          <w:tab w:val="left" w:pos="1134" w:leader="none"/>
        </w:tabs>
        <w:ind w:firstLine="708" w:start="0" w:end="-143"/>
        <w:jc w:val="both"/>
        <w:rPr>
          <w:rFonts w:ascii="Times New Roman" w:hAnsi="Times New Roman" w:eastAsia="Times New Roman" w:cs="Times New Roman"/>
          <w:lang w:eastAsia="en-US"/>
        </w:rPr>
      </w:pPr>
      <w:bookmarkStart w:id="0" w:name="_Hlk133601664"/>
      <w:bookmarkEnd w:id="0"/>
      <w:r>
        <w:rPr>
          <w:rFonts w:eastAsia="Calibri" w:cs="Times New Roman" w:ascii="Times New Roman" w:hAnsi="Times New Roman"/>
        </w:rPr>
        <w:t>Структурному подразделению – инициатору закупки подготовить Директору соответствующие документы для принятия на основании ч. 2 ст. 24 Положения одного из следующих решений:</w:t>
      </w:r>
    </w:p>
    <w:p>
      <w:pPr>
        <w:pStyle w:val="Style29"/>
        <w:tabs>
          <w:tab w:val="clear" w:pos="708"/>
          <w:tab w:val="left" w:pos="1134" w:leader="none"/>
        </w:tabs>
        <w:ind w:start="0" w:end="-143"/>
        <w:jc w:val="both"/>
        <w:rPr/>
      </w:pPr>
      <w:r>
        <w:rPr>
          <w:rFonts w:eastAsia="Times New Roman" w:cs="Times New Roman" w:ascii="Times New Roman" w:hAnsi="Times New Roman"/>
          <w:lang w:eastAsia="en-US"/>
        </w:rPr>
        <w:tab/>
        <w:t xml:space="preserve">1) </w:t>
      </w:r>
      <w:r>
        <w:rPr>
          <w:rFonts w:eastAsia="Calibri" w:cs="Times New Roman" w:ascii="Times New Roman" w:hAnsi="Times New Roman"/>
        </w:rPr>
        <w:t>об осуществлении повторной конкурентной закупки, при этом не допускается изменение предмета закупки, количества товара, объема работы или услуги, требований, предъявляемых к участникам закупки, предмету закупки, условий договора, за исключением срока исполнения договора, который может быть продлен на срок, необходимый для проведения повторной закупки;</w:t>
      </w:r>
    </w:p>
    <w:p>
      <w:pPr>
        <w:pStyle w:val="Style29"/>
        <w:tabs>
          <w:tab w:val="clear" w:pos="708"/>
          <w:tab w:val="left" w:pos="1134" w:leader="none"/>
        </w:tabs>
        <w:ind w:start="0" w:end="-143"/>
        <w:jc w:val="both"/>
        <w:rPr>
          <w:rFonts w:ascii="Times New Roman" w:hAnsi="Times New Roman" w:eastAsia="Times New Roman" w:cs="Times New Roman"/>
          <w:lang w:eastAsia="en-US"/>
        </w:rPr>
      </w:pPr>
      <w:r>
        <w:rPr>
          <w:rFonts w:eastAsia="Calibri" w:cs="Times New Roman" w:ascii="Times New Roman" w:hAnsi="Times New Roman"/>
        </w:rPr>
        <w:tab/>
        <w:t>2) об отказе от осуществления конкурентной закупки;</w:t>
      </w:r>
    </w:p>
    <w:p>
      <w:pPr>
        <w:pStyle w:val="Style29"/>
        <w:tabs>
          <w:tab w:val="clear" w:pos="708"/>
          <w:tab w:val="left" w:pos="1134" w:leader="none"/>
        </w:tabs>
        <w:ind w:start="0" w:end="-143"/>
        <w:jc w:val="both"/>
        <w:rPr>
          <w:rFonts w:ascii="Calibri" w:hAnsi="Calibri" w:cs="Calibri"/>
          <w:sz w:val="16"/>
          <w:szCs w:val="16"/>
        </w:rPr>
      </w:pPr>
      <w:r>
        <w:rPr>
          <w:rFonts w:eastAsia="Times New Roman" w:cs="Times New Roman" w:ascii="Times New Roman" w:hAnsi="Times New Roman"/>
          <w:lang w:eastAsia="en-US"/>
        </w:rPr>
        <w:tab/>
        <w:t xml:space="preserve">3) о заключении договора с единственным поставщиком (исполнителем, подрядчиком) в соответствии с пунктом 7 части 2 статьи 17 Положения в связи с тем, </w:t>
      </w:r>
      <w:bookmarkStart w:id="1" w:name="_Hlk134790840"/>
      <w:r>
        <w:rPr>
          <w:rFonts w:eastAsia="Times New Roman" w:cs="Times New Roman" w:ascii="Times New Roman" w:hAnsi="Times New Roman"/>
          <w:lang w:eastAsia="en-US"/>
        </w:rPr>
        <w:t>что по окончании срока подачи заявок на участие в закупке подана только одна заявка на участие в закупке, при этом такая заявка признана соответствующей требованиям извещения об осуществлении закупки и (или) документации о закупке.</w:t>
      </w:r>
      <w:r>
        <w:rPr>
          <w:rFonts w:cs="Times New Roman" w:ascii="Times New Roman" w:hAnsi="Times New Roman"/>
        </w:rPr>
        <w:t xml:space="preserve"> </w:t>
      </w:r>
    </w:p>
    <w:p>
      <w:pPr>
        <w:pStyle w:val="Style29"/>
        <w:rPr>
          <w:rFonts w:ascii="Calibri" w:hAnsi="Calibri" w:cs="Calibri"/>
          <w:sz w:val="16"/>
          <w:szCs w:val="16"/>
        </w:rPr>
      </w:pPr>
      <w:r>
        <w:rPr>
          <w:rFonts w:cs="Calibri" w:ascii="Calibri" w:hAnsi="Calibri"/>
          <w:sz w:val="16"/>
          <w:szCs w:val="16"/>
        </w:rPr>
      </w:r>
      <w:bookmarkEnd w:id="1"/>
    </w:p>
    <w:p>
      <w:pPr>
        <w:pStyle w:val="Normal"/>
        <w:tabs>
          <w:tab w:val="clear" w:pos="708"/>
          <w:tab w:val="center" w:pos="5031" w:leader="none"/>
        </w:tabs>
        <w:jc w:val="both"/>
        <w:rPr/>
      </w:pPr>
      <w:bookmarkStart w:id="2" w:name="_Hlk133601664"/>
      <w:bookmarkEnd w:id="2"/>
      <w:r>
        <w:rPr>
          <w:lang w:eastAsia="en-US"/>
        </w:rPr>
        <w:t xml:space="preserve">    </w:t>
      </w:r>
      <w:r>
        <w:rPr>
          <w:b/>
          <w:lang w:eastAsia="en-US"/>
        </w:rPr>
        <w:t>Решение принято единогласно</w:t>
      </w:r>
      <w:r>
        <w:rPr>
          <w:lang w:eastAsia="en-US"/>
        </w:rPr>
        <w:t>.</w:t>
      </w:r>
    </w:p>
    <w:p>
      <w:pPr>
        <w:pStyle w:val="Normal"/>
        <w:tabs>
          <w:tab w:val="clear" w:pos="708"/>
          <w:tab w:val="center" w:pos="5031" w:leader="none"/>
        </w:tabs>
        <w:jc w:val="both"/>
        <w:rPr>
          <w:color w:val="000000"/>
          <w:lang w:eastAsia="en-US"/>
        </w:rPr>
      </w:pPr>
      <w:r>
        <w:rPr>
          <w:color w:val="000000"/>
          <w:lang w:eastAsia="en-US"/>
        </w:rPr>
      </w:r>
    </w:p>
    <w:tbl>
      <w:tblPr>
        <w:tblW w:w="996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9"/>
        <w:gridCol w:w="1843"/>
        <w:gridCol w:w="4155"/>
      </w:tblGrid>
      <w:tr>
        <w:trPr>
          <w:trHeight w:val="233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>Заместитель председателя комиссии</w:t>
            </w:r>
          </w:p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>Терпелюк Виктория Богдановна</w:t>
            </w:r>
          </w:p>
        </w:tc>
      </w:tr>
      <w:tr>
        <w:trPr>
          <w:trHeight w:val="233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>Член комиссии</w:t>
            </w:r>
          </w:p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>Мальцев Глеб Олегович</w:t>
            </w:r>
          </w:p>
        </w:tc>
      </w:tr>
      <w:tr>
        <w:trPr>
          <w:trHeight w:val="233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>Член комиссии</w:t>
            </w:r>
          </w:p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 xml:space="preserve">Федюнин Александр Сергеевич </w:t>
            </w:r>
          </w:p>
        </w:tc>
      </w:tr>
      <w:tr>
        <w:trPr>
          <w:trHeight w:val="233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 xml:space="preserve">Член комиссии </w:t>
            </w:r>
          </w:p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 xml:space="preserve">Чечеваткина Юля Александровна </w:t>
            </w:r>
          </w:p>
        </w:tc>
      </w:tr>
      <w:tr>
        <w:trPr>
          <w:trHeight w:val="233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>Член комиссии</w:t>
            </w:r>
          </w:p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Шуварова Марина Анатольевна </w:t>
            </w:r>
          </w:p>
        </w:tc>
      </w:tr>
      <w:tr>
        <w:trPr>
          <w:trHeight w:val="28" w:hRule="atLeast"/>
        </w:trPr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>Секретарь комиссии (с правом голоса)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napToGrid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</w:r>
          </w:p>
        </w:tc>
        <w:tc>
          <w:tcPr>
            <w:tcW w:w="4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spacing w:before="0" w:after="0"/>
              <w:contextualSpacing/>
              <w:rPr>
                <w:rFonts w:eastAsia="Arial Unicode MS;Arial"/>
                <w:color w:val="000000"/>
                <w:lang w:eastAsia="ru-RU"/>
              </w:rPr>
            </w:pPr>
            <w:r>
              <w:rPr>
                <w:rFonts w:eastAsia="Arial Unicode MS;Arial"/>
                <w:color w:val="000000"/>
                <w:lang w:eastAsia="ru-RU"/>
              </w:rPr>
              <w:t>Шерстнева Татьяна Ивановна</w:t>
            </w:r>
          </w:p>
        </w:tc>
      </w:tr>
    </w:tbl>
    <w:p>
      <w:pPr>
        <w:pStyle w:val="Normal"/>
        <w:tabs>
          <w:tab w:val="clear" w:pos="708"/>
          <w:tab w:val="center" w:pos="5031" w:leader="none"/>
        </w:tabs>
        <w:jc w:val="both"/>
        <w:rPr>
          <w:color w:val="000000"/>
          <w:sz w:val="16"/>
          <w:szCs w:val="16"/>
          <w:lang w:eastAsia="en-US"/>
        </w:rPr>
      </w:pPr>
      <w:r>
        <w:rPr>
          <w:color w:val="000000"/>
          <w:sz w:val="16"/>
          <w:szCs w:val="16"/>
          <w:lang w:eastAsia="en-US"/>
        </w:rPr>
      </w:r>
    </w:p>
    <w:p>
      <w:pPr>
        <w:pStyle w:val="Style29"/>
        <w:rPr>
          <w:rFonts w:ascii="Times New Roman" w:hAnsi="Times New Roman" w:eastAsia="Times New Roman" w:cs="Times New Roman"/>
          <w:color w:val="000000"/>
          <w:sz w:val="16"/>
          <w:szCs w:val="16"/>
          <w:lang w:eastAsia="en-US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  <w:lang w:eastAsia="en-US"/>
        </w:rPr>
      </w:r>
    </w:p>
    <w:p>
      <w:pPr>
        <w:pStyle w:val="Normal"/>
        <w:tabs>
          <w:tab w:val="clear" w:pos="708"/>
          <w:tab w:val="center" w:pos="5031" w:leader="none"/>
        </w:tabs>
        <w:jc w:val="both"/>
        <w:rPr>
          <w:rFonts w:ascii="Times New Roman" w:hAnsi="Times New Roman" w:eastAsia="Times New Roman" w:cs="Times New Roman"/>
          <w:color w:val="000000"/>
          <w:lang w:eastAsia="en-US"/>
        </w:rPr>
      </w:pPr>
      <w:r>
        <w:rPr>
          <w:rFonts w:eastAsia="Times New Roman" w:cs="Times New Roman"/>
          <w:color w:val="000000"/>
          <w:lang w:eastAsia="en-US"/>
        </w:rPr>
      </w:r>
    </w:p>
    <w:p>
      <w:pPr>
        <w:pStyle w:val="Normal"/>
        <w:tabs>
          <w:tab w:val="clear" w:pos="708"/>
          <w:tab w:val="center" w:pos="5031" w:leader="none"/>
        </w:tabs>
        <w:rPr>
          <w:color w:val="000000"/>
          <w:lang w:eastAsia="en-US"/>
        </w:rPr>
      </w:pPr>
      <w:r>
        <w:rPr>
          <w:color w:val="000000"/>
          <w:lang w:eastAsia="en-US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709" w:gutter="0" w:header="0" w:top="709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Arial Unicode MS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Open Sans">
    <w:charset w:val="01"/>
    <w:family w:val="swiss"/>
    <w:pitch w:val="variable"/>
  </w:font>
  <w:font w:name="Courier New">
    <w:charset w:val="cc" w:characterSet="windows-1251"/>
    <w:family w:val="modern"/>
    <w:pitch w:val="default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677" w:leader="none"/>
        <w:tab w:val="right" w:pos="9355" w:leader="none"/>
        <w:tab w:val="right" w:pos="9921" w:leader="none"/>
      </w:tabs>
      <w:rPr>
        <w:sz w:val="16"/>
        <w:szCs w:val="16"/>
      </w:rPr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>
        <w:sz w:val="16"/>
        <w:szCs w:val="16"/>
      </w:rPr>
    </w:pPr>
    <w:r>
      <w:rPr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1134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cs="Times New Roman"/>
      <w:b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>
      <w:b/>
    </w:rPr>
  </w:style>
  <w:style w:type="character" w:styleId="WW8Num9z0">
    <w:name w:val="WW8Num9z0"/>
    <w:qFormat/>
    <w:rPr>
      <w:b/>
    </w:rPr>
  </w:style>
  <w:style w:type="character" w:styleId="WW8Num9z1">
    <w:name w:val="WW8Num9z1"/>
    <w:qFormat/>
    <w:rPr>
      <w:b w:val="false"/>
    </w:rPr>
  </w:style>
  <w:style w:type="character" w:styleId="1">
    <w:name w:val="Основной шрифт абзаца1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6">
    <w:name w:val="Верхний колонтитул Знак"/>
    <w:qFormat/>
    <w:rPr>
      <w:sz w:val="24"/>
      <w:szCs w:val="24"/>
    </w:rPr>
  </w:style>
  <w:style w:type="character" w:styleId="Style17">
    <w:name w:val="Нижний колонтитул Знак"/>
    <w:qFormat/>
    <w:rPr>
      <w:sz w:val="24"/>
      <w:szCs w:val="24"/>
    </w:rPr>
  </w:style>
  <w:style w:type="character" w:styleId="FollowedHyperlink">
    <w:name w:val="FollowedHyperlink"/>
    <w:rPr>
      <w:color w:val="954F72"/>
      <w:u w:val="single"/>
    </w:rPr>
  </w:style>
  <w:style w:type="character" w:styleId="Style18">
    <w:name w:val="Подзаголовок Знак"/>
    <w:qFormat/>
    <w:rPr>
      <w:rFonts w:ascii="Arial" w:hAnsi="Arial" w:cs="Arial"/>
      <w:sz w:val="24"/>
      <w:szCs w:val="24"/>
    </w:rPr>
  </w:style>
  <w:style w:type="character" w:styleId="Style19">
    <w:name w:val="Без интервала Знак"/>
    <w:qFormat/>
    <w:rPr/>
  </w:style>
  <w:style w:type="character" w:styleId="Strong">
    <w:name w:val="Strong"/>
    <w:qFormat/>
    <w:rPr>
      <w:b/>
      <w:bCs/>
    </w:rPr>
  </w:style>
  <w:style w:type="character" w:styleId="Style20">
    <w:name w:val="Основной текст Знак"/>
    <w:qFormat/>
    <w:rPr>
      <w:sz w:val="24"/>
      <w:szCs w:val="24"/>
    </w:rPr>
  </w:style>
  <w:style w:type="character" w:styleId="Style21">
    <w:name w:val="Основной текст_"/>
    <w:qFormat/>
    <w:rPr>
      <w:shd w:fill="FFFFFF" w:val="clear"/>
    </w:rPr>
  </w:style>
  <w:style w:type="character" w:styleId="Style22">
    <w:name w:val="Абзац списка Знак"/>
    <w:qFormat/>
    <w:rPr>
      <w:rFonts w:ascii="Arial Unicode MS;Arial" w:hAnsi="Arial Unicode MS;Arial" w:eastAsia="Arial Unicode MS;Arial" w:cs="Arial Unicode MS;Arial"/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roid Sans;Segoe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Заголовок1"/>
    <w:basedOn w:val="Normal"/>
    <w:next w:val="BodyText"/>
    <w:qFormat/>
    <w:pPr>
      <w:keepNext w:val="true"/>
      <w:spacing w:before="240" w:after="120"/>
    </w:pPr>
    <w:rPr>
      <w:rFonts w:ascii="Open Sans" w:hAnsi="Open Sans" w:eastAsia="Noto Sans CJK SC" w:cs="Droid Sans;Segoe UI"/>
      <w:sz w:val="28"/>
      <w:szCs w:val="28"/>
    </w:rPr>
  </w:style>
  <w:style w:type="paragraph" w:styleId="Style23">
    <w:name w:val="Название объекта"/>
    <w:basedOn w:val="Normal"/>
    <w:qFormat/>
    <w:pPr>
      <w:suppressLineNumbers/>
      <w:spacing w:before="120" w:after="120"/>
    </w:pPr>
    <w:rPr>
      <w:rFonts w:cs="Droid Sans;Segoe UI"/>
      <w:i/>
      <w:iCs/>
      <w:sz w:val="24"/>
      <w:szCs w:val="24"/>
    </w:rPr>
  </w:style>
  <w:style w:type="paragraph" w:styleId="12">
    <w:name w:val="Указатель1"/>
    <w:basedOn w:val="Normal"/>
    <w:qFormat/>
    <w:pPr>
      <w:suppressLineNumbers/>
    </w:pPr>
    <w:rPr>
      <w:rFonts w:cs="Droid Sans;Segoe UI"/>
    </w:rPr>
  </w:style>
  <w:style w:type="paragraph" w:styleId="Style24">
    <w:name w:val=" Знак"/>
    <w:basedOn w:val="Normal"/>
    <w:qFormat/>
    <w:pPr>
      <w:spacing w:lineRule="exact" w:line="240" w:before="0" w:after="160"/>
    </w:pPr>
    <w:rPr>
      <w:sz w:val="28"/>
      <w:szCs w:val="20"/>
      <w:lang w:val="en-US"/>
    </w:rPr>
  </w:style>
  <w:style w:type="paragraph" w:styleId="Style2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6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7">
    <w:name w:val="Без интервала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eastAsia="zh-CN" w:bidi="ar-SA"/>
    </w:rPr>
  </w:style>
  <w:style w:type="paragraph" w:styleId="Subtitle">
    <w:name w:val="Subtitle"/>
    <w:basedOn w:val="Normal"/>
    <w:next w:val="BodyText"/>
    <w:qFormat/>
    <w:pPr>
      <w:suppressAutoHyphens w:val="true"/>
      <w:spacing w:before="0" w:after="60"/>
      <w:jc w:val="center"/>
      <w:outlineLvl w:val="1"/>
    </w:pPr>
    <w:rPr>
      <w:rFonts w:ascii="Arial" w:hAnsi="Arial" w:cs="Arial"/>
    </w:rPr>
  </w:style>
  <w:style w:type="paragraph" w:styleId="ConsPlusNonformat">
    <w:name w:val="ConsPlusNonformat"/>
    <w:qFormat/>
    <w:pPr>
      <w:widowControl w:val="false"/>
      <w:suppressAutoHyphens w:val="tru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eastAsia="zh-CN" w:bidi="ar-SA"/>
    </w:rPr>
  </w:style>
  <w:style w:type="paragraph" w:styleId="Style28">
    <w:name w:val="Содержимое таблицы"/>
    <w:basedOn w:val="Normal"/>
    <w:qFormat/>
    <w:pPr>
      <w:widowControl w:val="false"/>
      <w:suppressLineNumbers/>
      <w:suppressAutoHyphens w:val="true"/>
    </w:pPr>
    <w:rPr>
      <w:kern w:val="2"/>
    </w:rPr>
  </w:style>
  <w:style w:type="paragraph" w:styleId="ConsPlusNormal">
    <w:name w:val="ConsPlusNormal"/>
    <w:qFormat/>
    <w:pPr>
      <w:widowControl w:val="false"/>
      <w:suppressAutoHyphens w:val="tru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eastAsia="zh-CN" w:bidi="ar-SA"/>
    </w:rPr>
  </w:style>
  <w:style w:type="paragraph" w:styleId="4">
    <w:name w:val="Основной текст4"/>
    <w:basedOn w:val="Normal"/>
    <w:qFormat/>
    <w:pPr>
      <w:shd w:fill="FFFFFF" w:val="clear"/>
      <w:spacing w:lineRule="atLeast" w:line="240" w:before="600" w:after="600"/>
      <w:ind w:hanging="340" w:start="0" w:end="0"/>
      <w:jc w:val="both"/>
    </w:pPr>
    <w:rPr>
      <w:sz w:val="20"/>
      <w:szCs w:val="20"/>
    </w:rPr>
  </w:style>
  <w:style w:type="paragraph" w:styleId="Style29">
    <w:name w:val="Абзац списка"/>
    <w:basedOn w:val="Normal"/>
    <w:qFormat/>
    <w:pPr>
      <w:spacing w:before="0" w:after="0"/>
      <w:ind w:hanging="0" w:start="720" w:end="0"/>
      <w:contextualSpacing/>
    </w:pPr>
    <w:rPr>
      <w:rFonts w:ascii="Arial Unicode MS;Arial" w:hAnsi="Arial Unicode MS;Arial" w:eastAsia="Arial Unicode MS;Arial" w:cs="Arial Unicode MS;Arial"/>
      <w:color w:val="000000"/>
    </w:rPr>
  </w:style>
  <w:style w:type="paragraph" w:styleId="Style30">
    <w:name w:val="Заголовок таблицы"/>
    <w:basedOn w:val="Style28"/>
    <w:qFormat/>
    <w:pPr>
      <w:suppressLineNumbers/>
      <w:jc w:val="center"/>
    </w:pPr>
    <w:rPr>
      <w:b/>
      <w:bCs/>
    </w:rPr>
  </w:style>
  <w:style w:type="paragraph" w:styleId="Style31">
    <w:name w:val="Содержимое врезки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2020-11-27T07:33:00Z</dcterms:created>
  <dc:creator>Пименова Екатерина Владимировна</dc:creator>
  <dc:description/>
  <cp:keywords/>
  <dc:language>en-US</dc:language>
  <cp:lastModifiedBy>Шерстнева Татьяна Ивановна</cp:lastModifiedBy>
  <cp:lastPrinted>2025-03-03T11:54:00Z</cp:lastPrinted>
  <dcterms:modified xsi:type="dcterms:W3CDTF">2025-03-03T08:59:00Z</dcterms:modified>
  <cp:revision>7</cp:revision>
  <dc:subject/>
  <dc:title/>
</cp:coreProperties>
</file>