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_rels/document.xml.rels" ContentType="application/vnd.openxmlformats-package.relationships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wtitle"/>
        <w:bidi w:val="0"/>
        <w:spacing w:before="0" w:after="0"/>
        <w:rPr/>
      </w:pPr>
      <w:r>
        <w:rPr/>
        <w:t>Общество с ограниченной ответственностью «ПромВодоКанал»</w:t>
      </w:r>
      <w:r>
        <w:rPr>
          <w:b/>
        </w:rPr>
        <w:t>(ООО «ПромВодоКанал»)</w:t>
      </w:r>
    </w:p>
    <w:p>
      <w:pPr>
        <w:pStyle w:val="wtitle"/>
        <w:bidi w:val="0"/>
        <w:spacing w:before="0" w:after="0"/>
        <w:ind w:hanging="0"/>
        <w:jc w:val="center"/>
        <w:rPr/>
      </w:pPr>
      <w:r>
        <w:rPr/>
        <w:t>Протокол№ 1/0302/25/4.3/00039253/ПВК/ПР/ГОС/Э/16.10.2025по подведению итогов маркетинговых исследований№ 0302/25/4.3/00039253/ПВК/ПР/ГОС/Э/16.10.2025176/14.10.25/ПВК/МИ/Э/СМСП  Поставка кабелей для нужд ООО «ПВК»</w:t>
      </w:r>
    </w:p>
    <w:p>
      <w:pPr>
        <w:pStyle w:val="Normal"/>
        <w:pBdr>
          <w:bottom w:val="single" w:sz="2" w:space="0" w:color="000000"/>
        </w:pBdr>
        <w:bidi w:val="0"/>
        <w:spacing w:before="0" w:after="0"/>
        <w:jc w:val="end"/>
        <w:rPr/>
      </w:pPr>
      <w:r>
        <w:rPr/>
        <w:t>28 ноября 2025 г.</w:t>
      </w:r>
    </w:p>
    <w:p>
      <w:pPr>
        <w:pStyle w:val="Normal"/>
        <w:bidi w:val="0"/>
        <w:spacing w:before="0" w:after="0"/>
        <w:jc w:val="start"/>
        <w:rPr/>
      </w:pPr>
      <w:r>
        <w:rPr/>
        <w:t>Заказчик: ООО «ПромВодоКанал».</w:t>
      </w:r>
    </w:p>
    <w:p>
      <w:pPr>
        <w:pStyle w:val="Normal"/>
        <w:bidi w:val="0"/>
        <w:spacing w:before="0" w:after="0"/>
        <w:jc w:val="start"/>
        <w:rPr/>
      </w:pPr>
      <w:r>
        <w:rPr/>
        <w:t>Организатор: ООО «ПромВодоКанал».</w:t>
      </w:r>
    </w:p>
    <w:p>
      <w:pPr>
        <w:pStyle w:val="Normal"/>
        <w:bidi w:val="0"/>
        <w:spacing w:before="0" w:after="0"/>
        <w:jc w:val="start"/>
        <w:rPr/>
      </w:pPr>
      <w:r>
        <w:rPr/>
        <w:t>Способ закупки: открытые маркетинговые исследования в электронной форме.</w:t>
      </w:r>
    </w:p>
    <w:p>
      <w:pPr>
        <w:pStyle w:val="Normal"/>
        <w:bidi w:val="0"/>
        <w:jc w:val="start"/>
        <w:rPr/>
      </w:pPr>
      <w:r>
        <w:rPr/>
        <w:t>Извещение о проведении маркетинговых исследований № 32515309180 было размещено 16 октября 2025 г. в Единой информационной системе в сфере закупок и на сайте электронной площадки ООО ЭТП ГПБ https://etpgaz.gazprombank.ru.</w:t>
      </w:r>
    </w:p>
    <w:p>
      <w:pPr>
        <w:pStyle w:val="Normal"/>
        <w:bidi w:val="0"/>
        <w:jc w:val="start"/>
        <w:rPr/>
      </w:pPr>
      <w:r>
        <w:rPr/>
        <w:t>Открытие доступа к заявкам на участие в маркетинговых исследованиях было произведено в 14:00 (МСК) 24 октября 2025 г. по адресу https://etpgaz.gazprombank.ru.</w:t>
      </w:r>
    </w:p>
    <w:p>
      <w:pPr>
        <w:pStyle w:val="Normal"/>
        <w:bidi w:val="0"/>
        <w:spacing w:before="0" w:after="0"/>
        <w:jc w:val="start"/>
        <w:rPr/>
      </w:pPr>
      <w:r>
        <w:rPr/>
        <w:t>Комиссия по маркетинговым исследованиям ООО «ПромВодоКанал» на основании результатов рассмотрения и оценки предложений участников маркетинговых исследований приняла</w:t>
      </w:r>
      <w:r>
        <w:rPr>
          <w:b/>
        </w:rPr>
        <w:t xml:space="preserve"> решение об отказе </w:t>
      </w:r>
      <w:r>
        <w:rPr/>
        <w:t> от проведения маркетинговых исследований на основании п. 15.10.1 Положения о закупках товаров, работ, услуг ПАО «Газпром» и Компаний Группы Газпром.</w:t>
      </w:r>
    </w:p>
    <w:p>
      <w:pPr>
        <w:pStyle w:val="Normal"/>
        <w:bidi w:val="0"/>
        <w:jc w:val="end"/>
        <w:rPr>
          <w:b/>
        </w:rPr>
      </w:pPr>
      <w:r>
        <w:rPr>
          <w:b/>
        </w:rPr>
        <w:t>Дата подписания «28» ноября 2025 г.</w:t>
      </w:r>
      <w:r>
        <w:br w:type="page"/>
      </w:r>
    </w:p>
    <w:p>
      <w:pPr>
        <w:pStyle w:val="Normal"/>
        <w:bidi w:val="0"/>
        <w:jc w:val="start"/>
        <w:rPr/>
      </w:pPr>
      <w:r>
        <w:rPr/>
      </w:r>
    </w:p>
    <w:tbl>
      <w:tblPr>
        <w:tblW w:w="10063" w:type="dxa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10063"/>
      </w:tblGrid>
      <w:tr>
        <w:trPr/>
        <w:tc>
          <w:tcPr>
            <w:tcW w:w="1006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wcell"/>
              <w:bidi w:val="0"/>
              <w:spacing w:before="0" w:after="0"/>
              <w:ind w:hanging="0"/>
              <w:jc w:val="center"/>
              <w:rPr/>
            </w:pPr>
            <w:r>
              <w:rPr/>
              <w:t>Наименование Участника</w:t>
            </w:r>
          </w:p>
        </w:tc>
      </w:tr>
      <w:tr>
        <w:trPr/>
        <w:tc>
          <w:tcPr>
            <w:tcW w:w="10063" w:type="dxa"/>
            <w:tcBorders/>
          </w:tcPr>
          <w:p>
            <w:pPr>
              <w:pStyle w:val="wcell"/>
              <w:bidi w:val="0"/>
              <w:spacing w:before="0" w:after="0"/>
              <w:ind w:hanging="0"/>
              <w:jc w:val="center"/>
              <w:rPr/>
            </w:pPr>
            <w:r>
              <w:rPr/>
              <w:t>ООО «АЛЬЯНС НЕФТЕГАЗ»</w:t>
            </w:r>
          </w:p>
        </w:tc>
      </w:tr>
      <w:tr>
        <w:trPr/>
        <w:tc>
          <w:tcPr>
            <w:tcW w:w="10063" w:type="dxa"/>
            <w:tcBorders/>
          </w:tcPr>
          <w:p>
            <w:pPr>
              <w:pStyle w:val="wcell"/>
              <w:bidi w:val="0"/>
              <w:spacing w:before="0" w:after="0"/>
              <w:ind w:hanging="0"/>
              <w:jc w:val="center"/>
              <w:rPr/>
            </w:pPr>
            <w:r>
              <w:rPr/>
              <w:t>ООО «СПЕЦРЕСУРС»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sectPr>
      <w:headerReference w:type="even" r:id="rId2"/>
      <w:headerReference w:type="default" r:id="rId3"/>
      <w:footerReference w:type="even" r:id="rId4"/>
      <w:footerReference w:type="default" r:id="rId5"/>
      <w:type w:val="nextPage"/>
      <w:pgSz w:w="11906" w:h="16838"/>
      <w:pgMar w:left="1134" w:right="709" w:gutter="0" w:header="720" w:top="851" w:footer="510" w:bottom="793"/>
      <w:pgNumType w:fmt="decimal"/>
      <w:formProt w:val="false"/>
      <w:titlePg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Star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wfooter"/>
      <w:bidi w:val="0"/>
      <w:spacing w:before="0" w:after="0"/>
      <w:ind w:hanging="0"/>
      <w:jc w:val="end"/>
      <w:rPr/>
    </w:pPr>
    <w:r>
      <w:rPr/>
      <w:fldChar w:fldCharType="begin"/>
    </w:r>
    <w:r>
      <w:rPr/>
      <w:instrText xml:space="preserve"> PAGE \* ARABIC </w:instrText>
    </w:r>
    <w:r>
      <w:rPr/>
      <w:fldChar w:fldCharType="separate"/>
    </w:r>
    <w:r>
      <w:rPr/>
      <w:t>2</w:t>
    </w:r>
    <w:r>
      <w:rPr/>
      <w:fldChar w:fldCharType="end"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wfooter"/>
      <w:bidi w:val="0"/>
      <w:spacing w:before="0" w:after="0"/>
      <w:ind w:hanging="0"/>
      <w:jc w:val="end"/>
      <w:rPr/>
    </w:pPr>
    <w:r>
      <w:rPr/>
      <w:fldChar w:fldCharType="begin"/>
    </w:r>
    <w:r>
      <w:rPr/>
      <w:instrText xml:space="preserve"> PAGE \* ARABIC </w:instrText>
    </w:r>
    <w:r>
      <w:rPr/>
      <w:fldChar w:fldCharType="separate"/>
    </w:r>
    <w:r>
      <w:rPr/>
      <w:t>0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wheader"/>
      <w:bidi w:val="0"/>
      <w:spacing w:before="0" w:after="0"/>
      <w:ind w:hanging="0"/>
      <w:jc w:val="end"/>
      <w:rPr/>
    </w:pPr>
    <w:r>
      <w:rPr/>
      <w:t>Протокол № 1/0302/25/4.3/00039253/ПВК/ПР/ГОС/Э/16.10.2025по подведению итогов маркетинговых исследований  ООО «ПромВодоКанал»</w:t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wheader"/>
      <w:bidi w:val="0"/>
      <w:spacing w:before="0" w:after="0"/>
      <w:ind w:hanging="0"/>
      <w:jc w:val="end"/>
      <w:rPr/>
    </w:pPr>
    <w:r>
      <w:rPr/>
      <w:t>Протокол № 1/0302/25/4.3/00039253/ПВК/ПР/ГОС/Э/16.10.2025по подведению итогов маркетинговых исследований  ООО «ПромВодоКанал»</w:t>
    </w:r>
  </w:p>
</w:hdr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evenAndOddHeaders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ans" w:cs="Noto Sans Devanagari"/>
      <w:color w:val="auto"/>
      <w:kern w:val="2"/>
      <w:sz w:val="24"/>
      <w:szCs w:val="24"/>
      <w:lang w:val="en-US" w:eastAsia="zh-CN" w:bidi="hi-IN"/>
    </w:rPr>
  </w:style>
  <w:style w:type="character" w:styleId="FootnoteCharacters">
    <w:name w:val="Footnote Characters"/>
    <w:qFormat/>
    <w:rPr/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StarSymbol" w:hAnsi="StarSymbol" w:eastAsia="StarSymbol" w:cs="StarSymbol"/>
      <w:sz w:val="18"/>
      <w:szCs w:val="18"/>
    </w:rPr>
  </w:style>
  <w:style w:type="character" w:styleId="EndnoteCharacters">
    <w:name w:val="Endnote Characters"/>
    <w:qFormat/>
    <w:rPr/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wparagraph">
    <w:name w:val="wparagraph"/>
    <w:qFormat/>
    <w:pPr>
      <w:widowControl w:val="false"/>
      <w:bidi w:val="0"/>
      <w:spacing w:before="0" w:after="0"/>
      <w:ind w:hanging="0"/>
      <w:jc w:val="both"/>
    </w:pPr>
    <w:rPr>
      <w:rFonts w:ascii="Liberation Serif" w:hAnsi="Liberation Serif" w:eastAsia="Noto Sans" w:cs="Noto Sans Devanagari"/>
      <w:color w:val="auto"/>
      <w:kern w:val="2"/>
      <w:sz w:val="28"/>
      <w:szCs w:val="24"/>
      <w:lang w:val="en-US" w:eastAsia="zh-CN" w:bidi="hi-IN"/>
    </w:rPr>
  </w:style>
  <w:style w:type="paragraph" w:styleId="wtitle">
    <w:name w:val="wtitle"/>
    <w:basedOn w:val="wparagraph"/>
    <w:qFormat/>
    <w:pPr>
      <w:spacing w:before="0" w:after="0"/>
      <w:ind w:hanging="0"/>
      <w:jc w:val="center"/>
    </w:pPr>
    <w:rPr/>
  </w:style>
  <w:style w:type="paragraph" w:styleId="wplacerfull">
    <w:name w:val="wplacer_full"/>
    <w:qFormat/>
    <w:pPr>
      <w:widowControl w:val="false"/>
      <w:bidi w:val="0"/>
      <w:spacing w:before="0" w:after="0"/>
      <w:jc w:val="center"/>
    </w:pPr>
    <w:rPr>
      <w:rFonts w:ascii="Liberation Serif" w:hAnsi="Liberation Serif" w:eastAsia="Noto Sans" w:cs="Noto Sans Devanagari"/>
      <w:color w:val="auto"/>
      <w:kern w:val="2"/>
      <w:sz w:val="28"/>
      <w:szCs w:val="24"/>
      <w:lang w:val="en-US" w:eastAsia="zh-CN" w:bidi="hi-IN"/>
    </w:rPr>
  </w:style>
  <w:style w:type="paragraph" w:styleId="wplacer">
    <w:name w:val="wplacer"/>
    <w:qFormat/>
    <w:pPr>
      <w:widowControl w:val="false"/>
      <w:bidi w:val="0"/>
      <w:spacing w:before="0" w:after="0"/>
      <w:jc w:val="center"/>
    </w:pPr>
    <w:rPr>
      <w:rFonts w:ascii="Liberation Serif" w:hAnsi="Liberation Serif" w:eastAsia="Noto Sans" w:cs="Noto Sans Devanagari"/>
      <w:color w:val="auto"/>
      <w:kern w:val="2"/>
      <w:sz w:val="28"/>
      <w:szCs w:val="24"/>
      <w:lang w:val="en-US" w:eastAsia="zh-CN" w:bidi="hi-IN"/>
    </w:rPr>
  </w:style>
  <w:style w:type="paragraph" w:styleId="wcell">
    <w:name w:val="wcell"/>
    <w:basedOn w:val="wparagraph"/>
    <w:qFormat/>
    <w:pPr>
      <w:spacing w:before="0" w:after="0"/>
      <w:ind w:hanging="0"/>
      <w:jc w:val="center"/>
    </w:pPr>
    <w:rPr>
      <w:sz w:val="22"/>
    </w:rPr>
  </w:style>
  <w:style w:type="paragraph" w:styleId="wheader">
    <w:name w:val="wheader"/>
    <w:basedOn w:val="wparagraph"/>
    <w:qFormat/>
    <w:pPr>
      <w:spacing w:before="0" w:after="0"/>
      <w:ind w:hanging="0"/>
      <w:jc w:val="end"/>
    </w:pPr>
    <w:rPr>
      <w:sz w:val="20"/>
    </w:rPr>
  </w:style>
  <w:style w:type="paragraph" w:styleId="wfooter">
    <w:name w:val="wfooter"/>
    <w:basedOn w:val="wparagraph"/>
    <w:qFormat/>
    <w:pPr>
      <w:spacing w:before="0" w:after="0"/>
      <w:ind w:hanging="0"/>
      <w:jc w:val="end"/>
    </w:pPr>
    <w:rPr>
      <w:sz w:val="20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HeaderandFooter"/>
    <w:pPr>
      <w:suppressLineNumbers/>
    </w:pPr>
    <w:rPr/>
  </w:style>
  <w:style w:type="paragraph" w:styleId="Footer">
    <w:name w:val="footer"/>
    <w:basedOn w:val="HeaderandFooter"/>
    <w:pPr>
      <w:suppressLineNumbers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footer" Target="footer1.xml"/><Relationship Id="rId5" Type="http://schemas.openxmlformats.org/officeDocument/2006/relationships/footer" Target="footer2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