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ind w:hanging="0" w:star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Протокол № ВК-ЗП/Э/05-2025</w:t>
      </w:r>
    </w:p>
    <w:p>
      <w:pPr>
        <w:pStyle w:val="Normal"/>
        <w:jc w:val="center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  <w:t>вскрытия конвертов с заявками на участие в запросе предложений в электронной форме на право заключения договора на Вилки, Микропереключатели</w:t>
      </w:r>
    </w:p>
    <w:p>
      <w:pPr>
        <w:pStyle w:val="Normal"/>
        <w:jc w:val="center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  <w:t>(извещение № 32514536246)</w:t>
      </w:r>
    </w:p>
    <w:p>
      <w:pPr>
        <w:pStyle w:val="Normal"/>
        <w:jc w:val="center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Normal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г. Челябинск</w:t>
        <w:tab/>
        <w:tab/>
        <w:t xml:space="preserve">                                                                                                « 03 » марта 2025 г.</w:t>
      </w:r>
    </w:p>
    <w:p>
      <w:pPr>
        <w:pStyle w:val="Normal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ind w:firstLine="357" w:end="0"/>
        <w:jc w:val="both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  <w:t>Срок, указанный в закупочной документации в качестве окончательного срока представления заявок на участие в запросе предложений в электронной форме на право заключения договора на Вилки, Микропереключатели по г. Челябинск « 03 » марта 2025 г.</w:t>
      </w:r>
    </w:p>
    <w:p>
      <w:pPr>
        <w:pStyle w:val="Normal"/>
        <w:ind w:firstLine="357" w:end="0"/>
        <w:jc w:val="both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  <w:t>Заседание закупочной комиссии проводится в 10.00 (время местное) « 03 » марта 2025 г. по адресу: г. Челябинск, Комсомольский проспект, д. 29.</w:t>
      </w:r>
    </w:p>
    <w:p>
      <w:pPr>
        <w:pStyle w:val="Normal"/>
        <w:ind w:firstLine="357" w:end="0"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b/>
          <w:szCs w:val="24"/>
        </w:rPr>
        <w:t>Оператор электронной торговой площадки, на которой размещена закупочная документация в отношении запроса предложений в электронной форме: https://estp.ru, www.zakupki.gov.ru.</w:t>
      </w:r>
    </w:p>
    <w:p>
      <w:pPr>
        <w:pStyle w:val="Normal"/>
        <w:ind w:firstLine="357" w:end="0"/>
        <w:jc w:val="both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  <w:t>Начальная максимальная цена договора: 540 720 руб. 00 коп.</w:t>
      </w:r>
    </w:p>
    <w:p>
      <w:pPr>
        <w:pStyle w:val="Normal"/>
        <w:ind w:firstLine="357" w:end="0"/>
        <w:jc w:val="both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  <w:t>Срок рассмотрения заявок на участие в запросе предложений в электронной форме:</w:t>
      </w:r>
      <w:r>
        <w:rPr/>
        <w:t xml:space="preserve"> </w:t>
      </w:r>
      <w:r>
        <w:rPr>
          <w:rFonts w:cs="Times New Roman" w:ascii="Times New Roman" w:hAnsi="Times New Roman"/>
          <w:b/>
          <w:szCs w:val="24"/>
        </w:rPr>
        <w:t>« 03 » марта 2025 г.</w:t>
      </w:r>
    </w:p>
    <w:p>
      <w:pPr>
        <w:pStyle w:val="Normal"/>
        <w:ind w:firstLine="357" w:end="0"/>
        <w:jc w:val="both"/>
        <w:rPr/>
      </w:pPr>
      <w:r>
        <w:rPr>
          <w:rFonts w:cs="Times New Roman" w:ascii="Times New Roman" w:hAnsi="Times New Roman"/>
          <w:b/>
          <w:szCs w:val="24"/>
        </w:rPr>
        <w:t xml:space="preserve">     </w:t>
      </w:r>
      <w:r>
        <w:rPr>
          <w:rFonts w:cs="Times New Roman" w:ascii="Times New Roman" w:hAnsi="Times New Roman"/>
          <w:b/>
          <w:szCs w:val="24"/>
        </w:rPr>
        <w:t>Состав закупочной комиссии:</w:t>
      </w:r>
    </w:p>
    <w:p>
      <w:pPr>
        <w:pStyle w:val="Normal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>Состав Комиссии определен приказом № 123 от 03 июня  2024 г.</w:t>
      </w:r>
    </w:p>
    <w:p>
      <w:pPr>
        <w:pStyle w:val="Normal"/>
        <w:rPr/>
      </w:pPr>
      <w:r>
        <w:rPr>
          <w:rFonts w:cs="Times New Roman" w:ascii="Times New Roman" w:hAnsi="Times New Roman"/>
          <w:szCs w:val="24"/>
        </w:rPr>
        <w:t>Присутствовали 6 (шесть) из 6-ти (шести) членов комиссии, заседание комиссии правомочно.</w:t>
      </w:r>
    </w:p>
    <w:p>
      <w:pPr>
        <w:pStyle w:val="Normal"/>
        <w:ind w:firstLine="357" w:end="0"/>
        <w:jc w:val="both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Normal"/>
        <w:ind w:firstLine="357" w:end="0"/>
        <w:jc w:val="both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  <w:t>Количество заявок участников закупочной процедуры, поступивших с соблюдением сроков, установленных в извещении о проведении запроса предложений: 0.</w:t>
      </w:r>
    </w:p>
    <w:p>
      <w:pPr>
        <w:pStyle w:val="Normal"/>
        <w:ind w:firstLine="357" w:end="0"/>
        <w:jc w:val="both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Normal"/>
        <w:ind w:firstLine="357" w:end="0"/>
        <w:jc w:val="both"/>
        <w:rPr/>
      </w:pPr>
      <w:r>
        <w:rPr>
          <w:rFonts w:cs="Times New Roman" w:ascii="Times New Roman" w:hAnsi="Times New Roman"/>
          <w:b/>
          <w:szCs w:val="24"/>
        </w:rPr>
        <w:t>Количество заявок участников закупочной процедуры, поступивших с несоблюдением сроков, установленных в извещении о проведении запроса предложений: 0.</w:t>
      </w:r>
    </w:p>
    <w:p>
      <w:pPr>
        <w:pStyle w:val="Normal"/>
        <w:spacing w:before="0" w:after="0"/>
        <w:ind w:firstLine="357" w:end="0"/>
        <w:contextualSpacing/>
        <w:jc w:val="both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Normal"/>
        <w:spacing w:before="0" w:after="0"/>
        <w:ind w:firstLine="357" w:end="0"/>
        <w:contextualSpacing/>
        <w:jc w:val="both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  <w:t>Количество писем с отказом от участия в запросе предложений: 0.</w:t>
      </w:r>
    </w:p>
    <w:p>
      <w:pPr>
        <w:pStyle w:val="Normal"/>
        <w:spacing w:before="0" w:after="0"/>
        <w:ind w:firstLine="357" w:end="0"/>
        <w:contextualSpacing/>
        <w:jc w:val="both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Normal"/>
        <w:spacing w:before="0" w:after="0"/>
        <w:ind w:firstLine="357" w:end="0"/>
        <w:contextualSpacing/>
        <w:jc w:val="both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  <w:t>Сведения об участниках</w:t>
      </w:r>
      <w:r>
        <w:rPr>
          <w:rFonts w:cs="Times New Roman" w:ascii="Times New Roman" w:hAnsi="Times New Roman"/>
          <w:szCs w:val="24"/>
        </w:rPr>
        <w:t xml:space="preserve"> </w:t>
      </w:r>
      <w:r>
        <w:rPr>
          <w:rFonts w:cs="Times New Roman" w:ascii="Times New Roman" w:hAnsi="Times New Roman"/>
          <w:b/>
          <w:szCs w:val="24"/>
        </w:rPr>
        <w:t>закупочной процедуры, подавших заявки на участие в запросе предложений (далее ЗП), а также сведения об указанных заявках: отсутствуют.</w:t>
      </w:r>
    </w:p>
    <w:p>
      <w:pPr>
        <w:pStyle w:val="Normal"/>
        <w:spacing w:before="0" w:after="0"/>
        <w:ind w:firstLine="357" w:end="0"/>
        <w:contextualSpacing/>
        <w:jc w:val="both"/>
        <w:rPr>
          <w:rFonts w:ascii="Times New Roman" w:hAnsi="Times New Roman" w:cs="Times New Roman"/>
          <w:color w:val="000000"/>
          <w:szCs w:val="24"/>
        </w:rPr>
      </w:pPr>
      <w:r>
        <w:rPr>
          <w:rFonts w:cs="Times New Roman" w:ascii="Times New Roman" w:hAnsi="Times New Roman"/>
          <w:b/>
          <w:color w:val="000000"/>
          <w:szCs w:val="24"/>
        </w:rPr>
        <w:t xml:space="preserve">Сведения о наличии в закупочной документации возможности подавать альтернативные предложения: </w:t>
      </w:r>
      <w:r>
        <w:rPr>
          <w:rFonts w:cs="Times New Roman" w:ascii="Times New Roman" w:hAnsi="Times New Roman"/>
          <w:color w:val="000000"/>
          <w:szCs w:val="24"/>
        </w:rPr>
        <w:t>возможность подавать альтернативные предложения закупочной документацией в отношении запроса предложений не предусмотрена.</w:t>
      </w:r>
    </w:p>
    <w:p>
      <w:pPr>
        <w:pStyle w:val="Normal"/>
        <w:spacing w:before="0" w:after="0"/>
        <w:ind w:firstLine="357" w:end="0"/>
        <w:contextualSpacing/>
        <w:jc w:val="both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  <w:t>Подписи членов закупочной комиссии, присутствовавших при вскрытии конвертов с заявками на участие в запросе предложений:</w:t>
      </w:r>
    </w:p>
    <w:p>
      <w:pPr>
        <w:pStyle w:val="Normal"/>
        <w:spacing w:before="0" w:after="0"/>
        <w:ind w:firstLine="357" w:end="0"/>
        <w:contextualSpacing/>
        <w:jc w:val="both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Normal"/>
        <w:spacing w:before="0" w:after="0"/>
        <w:ind w:firstLine="357" w:end="0"/>
        <w:contextualSpacing/>
        <w:jc w:val="both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Normal"/>
        <w:spacing w:before="0" w:after="0"/>
        <w:ind w:firstLine="426" w:end="0"/>
        <w:contextualSpacing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 xml:space="preserve">______________________     </w:t>
        <w:tab/>
        <w:tab/>
        <w:tab/>
        <w:t>______________________</w:t>
      </w:r>
    </w:p>
    <w:p>
      <w:pPr>
        <w:pStyle w:val="Normal"/>
        <w:spacing w:before="0" w:after="0"/>
        <w:ind w:firstLine="426" w:end="0"/>
        <w:contextualSpacing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</w:r>
    </w:p>
    <w:p>
      <w:pPr>
        <w:pStyle w:val="Normal"/>
        <w:spacing w:before="0" w:after="0"/>
        <w:ind w:firstLine="426" w:end="0"/>
        <w:contextualSpacing/>
        <w:jc w:val="both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szCs w:val="24"/>
        </w:rPr>
        <w:t xml:space="preserve">______________________     </w:t>
        <w:tab/>
        <w:tab/>
        <w:tab/>
      </w:r>
      <w:r>
        <w:rPr>
          <w:rFonts w:cs="Times New Roman" w:ascii="Times New Roman" w:hAnsi="Times New Roman"/>
          <w:b/>
          <w:szCs w:val="24"/>
        </w:rPr>
        <w:t>______________________</w:t>
      </w:r>
    </w:p>
    <w:p>
      <w:pPr>
        <w:pStyle w:val="Normal"/>
        <w:spacing w:before="0" w:after="0"/>
        <w:ind w:firstLine="426" w:end="0"/>
        <w:contextualSpacing/>
        <w:jc w:val="both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Normal"/>
        <w:spacing w:before="0" w:after="0"/>
        <w:ind w:firstLine="426" w:end="0"/>
        <w:contextualSpacing/>
        <w:jc w:val="both"/>
        <w:rPr>
          <w:rFonts w:ascii="Times New Roman" w:hAnsi="Times New Roman" w:cs="Times New Roman"/>
          <w:szCs w:val="24"/>
        </w:rPr>
      </w:pPr>
      <w:r>
        <w:rPr>
          <w:rFonts w:cs="Times New Roman" w:ascii="Times New Roman" w:hAnsi="Times New Roman"/>
          <w:szCs w:val="24"/>
        </w:rPr>
        <w:t xml:space="preserve">______________________     </w:t>
        <w:tab/>
        <w:tab/>
        <w:tab/>
        <w:t>______________________</w:t>
      </w:r>
    </w:p>
    <w:p>
      <w:pPr>
        <w:pStyle w:val="Normal"/>
        <w:spacing w:before="0" w:after="0"/>
        <w:ind w:firstLine="426" w:end="0"/>
        <w:contextualSpacing/>
        <w:jc w:val="both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Normal"/>
        <w:spacing w:before="0" w:after="0"/>
        <w:ind w:firstLine="426" w:end="0"/>
        <w:contextualSpacing/>
        <w:jc w:val="both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Normal"/>
        <w:spacing w:before="0" w:after="0"/>
        <w:ind w:firstLine="426" w:end="0"/>
        <w:contextualSpacing/>
        <w:jc w:val="both"/>
        <w:rPr/>
      </w:pPr>
      <w:r>
        <w:rPr>
          <w:rFonts w:cs="Times New Roman" w:ascii="Times New Roman" w:hAnsi="Times New Roman"/>
          <w:b/>
          <w:szCs w:val="24"/>
        </w:rPr>
        <w:t xml:space="preserve">Дата подписания протокола: </w:t>
      </w:r>
      <w:r>
        <w:rPr>
          <w:rFonts w:cs="Times New Roman" w:ascii="Times New Roman" w:hAnsi="Times New Roman"/>
          <w:szCs w:val="24"/>
        </w:rPr>
        <w:t>« 03 » марта 2025 г.</w:t>
      </w:r>
    </w:p>
    <w:sectPr>
      <w:type w:val="nextPage"/>
      <w:pgSz w:w="11906" w:h="16838"/>
      <w:pgMar w:left="993" w:right="709" w:gutter="0" w:header="0" w:top="568" w:footer="0" w:bottom="567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"/>
      <w:lvlJc w:val="start"/>
      <w:pPr>
        <w:tabs>
          <w:tab w:val="num" w:pos="1211"/>
        </w:tabs>
        <w:ind w:start="0" w:firstLine="851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39"/>
        </w:tabs>
        <w:ind w:start="739" w:hanging="360"/>
      </w:pPr>
      <w:rPr>
        <w:b/>
      </w:rPr>
    </w:lvl>
    <w:lvl w:ilvl="1">
      <w:start w:val="1"/>
      <w:numFmt w:val="bullet"/>
      <w:lvlText w:val=""/>
      <w:lvlJc w:val="start"/>
      <w:pPr>
        <w:tabs>
          <w:tab w:val="num" w:pos="1249"/>
        </w:tabs>
        <w:ind w:start="38" w:firstLine="1061"/>
      </w:pPr>
      <w:rPr>
        <w:rFonts w:ascii="Symbol" w:hAnsi="Symbol" w:cs="Symbol" w:hint="default"/>
        <w:b/>
      </w:rPr>
    </w:lvl>
    <w:lvl w:ilvl="2">
      <w:start w:val="1"/>
      <w:numFmt w:val="lowerRoman"/>
      <w:lvlText w:val="%3."/>
      <w:lvlJc w:val="end"/>
      <w:pPr>
        <w:tabs>
          <w:tab w:val="num" w:pos="2179"/>
        </w:tabs>
        <w:ind w:start="2179" w:hanging="180"/>
      </w:pPr>
    </w:lvl>
    <w:lvl w:ilvl="3">
      <w:start w:val="1"/>
      <w:numFmt w:val="decimal"/>
      <w:lvlText w:val="%4."/>
      <w:lvlJc w:val="start"/>
      <w:pPr>
        <w:tabs>
          <w:tab w:val="num" w:pos="2899"/>
        </w:tabs>
        <w:ind w:start="2899" w:hanging="360"/>
      </w:pPr>
    </w:lvl>
    <w:lvl w:ilvl="4">
      <w:start w:val="1"/>
      <w:numFmt w:val="lowerLetter"/>
      <w:lvlText w:val="%5."/>
      <w:lvlJc w:val="start"/>
      <w:pPr>
        <w:tabs>
          <w:tab w:val="num" w:pos="3619"/>
        </w:tabs>
        <w:ind w:start="3619" w:hanging="360"/>
      </w:pPr>
    </w:lvl>
    <w:lvl w:ilvl="5">
      <w:start w:val="1"/>
      <w:numFmt w:val="lowerRoman"/>
      <w:lvlText w:val="%6."/>
      <w:lvlJc w:val="end"/>
      <w:pPr>
        <w:tabs>
          <w:tab w:val="num" w:pos="4339"/>
        </w:tabs>
        <w:ind w:start="4339" w:hanging="180"/>
      </w:pPr>
    </w:lvl>
    <w:lvl w:ilvl="6">
      <w:start w:val="1"/>
      <w:numFmt w:val="decimal"/>
      <w:lvlText w:val="%7."/>
      <w:lvlJc w:val="start"/>
      <w:pPr>
        <w:tabs>
          <w:tab w:val="num" w:pos="5059"/>
        </w:tabs>
        <w:ind w:start="5059" w:hanging="360"/>
      </w:pPr>
    </w:lvl>
    <w:lvl w:ilvl="7">
      <w:start w:val="1"/>
      <w:numFmt w:val="lowerLetter"/>
      <w:lvlText w:val="%8."/>
      <w:lvlJc w:val="start"/>
      <w:pPr>
        <w:tabs>
          <w:tab w:val="num" w:pos="5779"/>
        </w:tabs>
        <w:ind w:start="5779" w:hanging="360"/>
      </w:pPr>
    </w:lvl>
    <w:lvl w:ilvl="8">
      <w:start w:val="1"/>
      <w:numFmt w:val="lowerRoman"/>
      <w:lvlText w:val="%9."/>
      <w:lvlJc w:val="end"/>
      <w:pPr>
        <w:tabs>
          <w:tab w:val="num" w:pos="6499"/>
        </w:tabs>
        <w:ind w:start="6499" w:hanging="18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4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sz w:val="3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8z0">
    <w:name w:val="WW8Num18z0"/>
    <w:qFormat/>
    <w:rPr/>
  </w:style>
  <w:style w:type="character" w:styleId="WW8Num19z0">
    <w:name w:val="WW8Num19z0"/>
    <w:qFormat/>
    <w:rPr>
      <w:sz w:val="23"/>
    </w:rPr>
  </w:style>
  <w:style w:type="character" w:styleId="WW8Num20z0">
    <w:name w:val="WW8Num20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>
      <w:b/>
    </w:rPr>
  </w:style>
  <w:style w:type="character" w:styleId="WW8Num24z1">
    <w:name w:val="WW8Num24z1"/>
    <w:qFormat/>
    <w:rPr>
      <w:rFonts w:ascii="Symbol" w:hAnsi="Symbol" w:cs="Symbol"/>
      <w:b/>
    </w:rPr>
  </w:style>
  <w:style w:type="character" w:styleId="WW8Num27z0">
    <w:name w:val="WW8Num27z0"/>
    <w:qFormat/>
    <w:rPr/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9z0">
    <w:name w:val="WW8Num29z0"/>
    <w:qFormat/>
    <w:rPr>
      <w:rFonts w:ascii="Times New Roman" w:hAnsi="Times New Roman" w:cs="Times New Roman"/>
    </w:rPr>
  </w:style>
  <w:style w:type="character" w:styleId="WW8Num30z0">
    <w:name w:val="WW8Num30z0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2z0">
    <w:name w:val="WW8Num32z0"/>
    <w:qFormat/>
    <w:rPr/>
  </w:style>
  <w:style w:type="character" w:styleId="WW8Num33z0">
    <w:name w:val="WW8Num33z0"/>
    <w:qFormat/>
    <w:rPr>
      <w:rFonts w:ascii="Symbol" w:hAnsi="Symbol" w:cs="Symbol"/>
    </w:rPr>
  </w:style>
  <w:style w:type="character" w:styleId="WW8Num33z1">
    <w:name w:val="WW8Num33z1"/>
    <w:qFormat/>
    <w:rPr/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3z4">
    <w:name w:val="WW8Num33z4"/>
    <w:qFormat/>
    <w:rPr>
      <w:rFonts w:ascii="Courier New" w:hAnsi="Courier New" w:cs="Courier New"/>
    </w:rPr>
  </w:style>
  <w:style w:type="character" w:styleId="WW8Num34z0">
    <w:name w:val="WW8Num34z0"/>
    <w:qFormat/>
    <w:rPr>
      <w:color w:val="FF0000"/>
      <w:sz w:val="26"/>
    </w:rPr>
  </w:style>
  <w:style w:type="character" w:styleId="WW8Num34z1">
    <w:name w:val="WW8Num34z1"/>
    <w:qFormat/>
    <w:rPr>
      <w:color w:val="000000"/>
      <w:sz w:val="24"/>
      <w:szCs w:val="24"/>
    </w:rPr>
  </w:style>
  <w:style w:type="character" w:styleId="WW8Num35z0">
    <w:name w:val="WW8Num35z0"/>
    <w:qFormat/>
    <w:rPr/>
  </w:style>
  <w:style w:type="character" w:styleId="WW8Num36z0">
    <w:name w:val="WW8Num36z0"/>
    <w:qFormat/>
    <w:rPr/>
  </w:style>
  <w:style w:type="character" w:styleId="WW8Num37z0">
    <w:name w:val="WW8Num37z0"/>
    <w:qFormat/>
    <w:rPr>
      <w:rFonts w:ascii="Times New Roman" w:hAnsi="Times New Roman" w:cs="Times New Roman"/>
    </w:rPr>
  </w:style>
  <w:style w:type="character" w:styleId="WW8Num39z0">
    <w:name w:val="WW8Num39z0"/>
    <w:qFormat/>
    <w:rPr/>
  </w:style>
  <w:style w:type="character" w:styleId="WW8Num40z0">
    <w:name w:val="WW8Num40z0"/>
    <w:qFormat/>
    <w:rPr>
      <w:rFonts w:ascii="Times New Roman" w:hAnsi="Times New Roman" w:cs="Times New Roman"/>
    </w:rPr>
  </w:style>
  <w:style w:type="character" w:styleId="Style11">
    <w:name w:val="Основной шрифт абзаца"/>
    <w:qFormat/>
    <w:rPr/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FontStyle33">
    <w:name w:val="Font Style33"/>
    <w:qFormat/>
    <w:rPr>
      <w:rFonts w:ascii="Times New Roman" w:hAnsi="Times New Roman" w:cs="Times New Roman"/>
      <w:sz w:val="24"/>
      <w:szCs w:val="24"/>
    </w:rPr>
  </w:style>
  <w:style w:type="character" w:styleId="Style12">
    <w:name w:val="Основной текст с отступом Знак"/>
    <w:qFormat/>
    <w:rPr>
      <w:rFonts w:ascii="Arial" w:hAnsi="Arial" w:cs="Arial"/>
      <w:sz w:val="24"/>
    </w:rPr>
  </w:style>
  <w:style w:type="character" w:styleId="Style13">
    <w:name w:val="Текст выноски Знак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Indent">
    <w:name w:val="Body Text Indent"/>
    <w:basedOn w:val="Normal"/>
    <w:pPr>
      <w:ind w:hanging="0" w:start="120" w:end="0"/>
    </w:pPr>
    <w:rPr/>
  </w:style>
  <w:style w:type="paragraph" w:styleId="2">
    <w:name w:val="Основной текст с отступом 2"/>
    <w:basedOn w:val="Normal"/>
    <w:qFormat/>
    <w:pPr>
      <w:ind w:firstLine="360" w:start="0" w:end="0"/>
    </w:pPr>
    <w:rPr/>
  </w:style>
  <w:style w:type="paragraph" w:styleId="Style14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15">
    <w:name w:val="Центр"/>
    <w:next w:val="Normal"/>
    <w:qFormat/>
    <w:pPr>
      <w:widowControl/>
      <w:bidi w:val="0"/>
      <w:spacing w:lineRule="auto" w:line="288" w:before="240" w:after="240"/>
      <w:jc w:val="center"/>
    </w:pPr>
    <w:rPr>
      <w:rFonts w:ascii="Times New Roman" w:hAnsi="Times New Roman" w:eastAsia="Times New Roman" w:cs="Times New Roman"/>
      <w:b/>
      <w:color w:val="auto"/>
      <w:spacing w:val="100"/>
      <w:kern w:val="2"/>
      <w:sz w:val="44"/>
      <w:szCs w:val="20"/>
      <w:lang w:val="ru-RU" w:bidi="ar-SA" w:eastAsia="zh-CN"/>
    </w:rPr>
  </w:style>
  <w:style w:type="paragraph" w:styleId="Style16">
    <w:name w:val="Тире"/>
    <w:basedOn w:val="Normal"/>
    <w:next w:val="Normal"/>
    <w:qFormat/>
    <w:pPr>
      <w:numPr>
        <w:ilvl w:val="0"/>
        <w:numId w:val="2"/>
      </w:numPr>
      <w:tabs>
        <w:tab w:val="clear" w:pos="720"/>
        <w:tab w:val="left" w:pos="1418" w:leader="none"/>
      </w:tabs>
      <w:spacing w:lineRule="auto" w:line="288"/>
      <w:jc w:val="both"/>
    </w:pPr>
    <w:rPr>
      <w:rFonts w:ascii="Times New Roman" w:hAnsi="Times New Roman" w:cs="Times New Roman"/>
      <w:kern w:val="2"/>
      <w:sz w:val="28"/>
    </w:rPr>
  </w:style>
  <w:style w:type="paragraph" w:styleId="Style17">
    <w:name w:val="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lang w:val="en-US"/>
    </w:rPr>
  </w:style>
  <w:style w:type="paragraph" w:styleId="Style18">
    <w:name w:val="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lang w:val="en-US"/>
    </w:rPr>
  </w:style>
  <w:style w:type="paragraph" w:styleId="text">
    <w:name w:val="text"/>
    <w:qFormat/>
    <w:pPr>
      <w:widowControl w:val="false"/>
      <w:suppressAutoHyphens w:val="true"/>
      <w:bidi w:val="0"/>
      <w:spacing w:lineRule="atLeast" w:line="10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Style19">
    <w:name w:val="Обычный (веб)"/>
    <w:basedOn w:val="Normal"/>
    <w:qFormat/>
    <w:pPr>
      <w:spacing w:before="100" w:after="100"/>
    </w:pPr>
    <w:rPr>
      <w:rFonts w:ascii="Times New Roman" w:hAnsi="Times New Roman" w:cs="Times New Roman"/>
      <w:szCs w:val="24"/>
    </w:rPr>
  </w:style>
  <w:style w:type="paragraph" w:styleId="1">
    <w:name w:val=" Знак1 Знак Знак Знак Знак Знак Знак Знак Знак Знак"/>
    <w:basedOn w:val="Normal"/>
    <w:qFormat/>
    <w:pPr>
      <w:spacing w:lineRule="exact" w:line="240" w:before="0" w:after="160"/>
      <w:jc w:val="both"/>
    </w:pPr>
    <w:rPr>
      <w:rFonts w:ascii="Verdana" w:hAnsi="Verdana" w:cs="Verdana"/>
      <w:sz w:val="20"/>
      <w:lang w:val="en-US"/>
    </w:rPr>
  </w:style>
  <w:style w:type="paragraph" w:styleId="Style20">
    <w:name w:val="Таблицы (моноширинный)"/>
    <w:basedOn w:val="Normal"/>
    <w:next w:val="Normal"/>
    <w:qFormat/>
    <w:pPr>
      <w:widowControl w:val="false"/>
      <w:autoSpaceDE w:val="false"/>
      <w:jc w:val="both"/>
    </w:pPr>
    <w:rPr>
      <w:rFonts w:ascii="Courier New" w:hAnsi="Courier New" w:cs="Courier New"/>
      <w:sz w:val="20"/>
    </w:rPr>
  </w:style>
  <w:style w:type="paragraph" w:styleId="21">
    <w:name w:val=" Знак Знак2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lang w:val="en-US"/>
    </w:rPr>
  </w:style>
  <w:style w:type="paragraph" w:styleId="13">
    <w:name w:val="Знак Знак13"/>
    <w:basedOn w:val="Normal"/>
    <w:qFormat/>
    <w:pPr>
      <w:numPr>
        <w:ilvl w:val="0"/>
        <w:numId w:val="3"/>
      </w:numPr>
    </w:pPr>
    <w:rPr/>
  </w:style>
  <w:style w:type="paragraph" w:styleId="publication">
    <w:name w:val="publication"/>
    <w:basedOn w:val="Normal"/>
    <w:next w:val="text"/>
    <w:qFormat/>
    <w:pPr>
      <w:widowControl w:val="false"/>
      <w:suppressAutoHyphens w:val="true"/>
      <w:spacing w:lineRule="atLeast" w:line="100"/>
    </w:pPr>
    <w:rPr>
      <w:rFonts w:eastAsia="Lucida Sans Unicode" w:cs="Tahoma"/>
      <w:color w:val="FFFFFF"/>
      <w:kern w:val="2"/>
      <w:sz w:val="22"/>
      <w:szCs w:val="24"/>
      <w:shd w:fill="000000" w:val="clear"/>
      <w:lang w:bidi="ru-RU"/>
    </w:rPr>
  </w:style>
  <w:style w:type="paragraph" w:styleId="Style21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2023-02-06T04:13:00Z</dcterms:created>
  <dc:creator>User</dc:creator>
  <dc:description/>
  <cp:keywords/>
  <dc:language>en-US</dc:language>
  <cp:lastModifiedBy>Вершинин Никита Алексеевич</cp:lastModifiedBy>
  <cp:lastPrinted>2022-10-24T08:38:00Z</cp:lastPrinted>
  <dcterms:modified xsi:type="dcterms:W3CDTF">2025-03-03T07:27:00Z</dcterms:modified>
  <cp:revision>48</cp:revision>
  <dc:subject/>
  <dc:title/>
</cp:coreProperties>
</file>