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wa4"/>
        <w:bidi w:val="0"/>
        <w:spacing w:before="0" w:after="0"/>
        <w:rPr/>
      </w:pPr>
      <w:r>
        <w:rPr/>
        <w:t>Общество с ограниченной ответственностью «Газпром комплектация»</w:t>
        <w:br/>
      </w:r>
      <w:r>
        <w:rPr>
          <w:b/>
        </w:rPr>
        <w:t>(ООО «Газпром комплектация»)</w:t>
      </w:r>
    </w:p>
    <w:p>
      <w:pPr>
        <w:pStyle w:val="wa4"/>
        <w:bidi w:val="0"/>
        <w:spacing w:before="0" w:after="0"/>
        <w:ind w:hanging="0"/>
        <w:jc w:val="center"/>
        <w:rPr/>
      </w:pPr>
      <w:r>
        <w:rPr/>
        <w:t>Итоговый протокол</w:t>
        <w:br/>
        <w:t>№ 1/0058/25/4.3/0001427/КаневЗГА/К/ГОС/Э/04.02.2025</w:t>
        <w:br/>
        <w:t>по конкурентному отбору</w:t>
        <w:br/>
        <w:t>№ 0058/25/4.3/0001427/КаневЗГА/К/ГОС/Э/04.02.2025</w:t>
        <w:br/>
        <w:t>Поставка стальной трубы для нужд ООО «Каневской ЗГА» (0001427)</w:t>
      </w:r>
    </w:p>
    <w:p>
      <w:pPr>
        <w:pStyle w:val="wa3"/>
        <w:pBdr>
          <w:bottom w:val="single" w:sz="2" w:space="0" w:color="000000"/>
        </w:pBdr>
        <w:bidi w:val="0"/>
        <w:spacing w:before="0" w:after="0"/>
        <w:jc w:val="end"/>
        <w:rPr/>
      </w:pPr>
      <w:r>
        <w:rPr/>
        <w:t>Дата принятия решения 20 февраля 2025 г.</w:t>
      </w:r>
    </w:p>
    <w:p>
      <w:pPr>
        <w:pStyle w:val="wa3"/>
        <w:bidi w:val="0"/>
        <w:spacing w:before="0" w:after="0"/>
        <w:rPr/>
      </w:pPr>
      <w:r>
        <w:rPr/>
        <w:t>Заказчик: ООО «Каневской завод газовой аппаратуры».</w:t>
      </w:r>
    </w:p>
    <w:p>
      <w:pPr>
        <w:pStyle w:val="wa3"/>
        <w:bidi w:val="0"/>
        <w:spacing w:before="0" w:after="0"/>
        <w:rPr/>
      </w:pPr>
      <w:r>
        <w:rPr/>
        <w:t>Организатор: ООО «Газпром комплектация».</w:t>
      </w:r>
    </w:p>
    <w:p>
      <w:pPr>
        <w:pStyle w:val="wa3"/>
        <w:bidi w:val="0"/>
        <w:spacing w:before="0" w:after="0"/>
        <w:ind w:hanging="0"/>
        <w:jc w:val="both"/>
        <w:rPr/>
      </w:pPr>
      <w:r>
        <w:rPr/>
        <w:t>Извещение о проведении конкурентного отбора № 32514476754 было размещено 04 февраля 2025 г. в Единой информационной системе в сфере закупок.</w:t>
      </w:r>
    </w:p>
    <w:p>
      <w:pPr>
        <w:pStyle w:val="wa3"/>
        <w:bidi w:val="0"/>
        <w:spacing w:before="0" w:after="0"/>
        <w:ind w:hanging="0"/>
        <w:jc w:val="both"/>
        <w:rPr/>
      </w:pPr>
      <w:r>
        <w:rPr/>
        <w:t>Количество поданных заявок на участие в конкурентном отборе (далее — Заявки) — 2.</w:t>
      </w:r>
    </w:p>
    <w:p>
      <w:pPr>
        <w:pStyle w:val="wa3"/>
        <w:bidi w:val="0"/>
        <w:spacing w:before="0" w:after="0"/>
        <w:rPr/>
      </w:pPr>
      <w:r>
        <w:rPr/>
        <w:t>Комиссия по осуществлению конкурентного отбора ООО «Газпром комплектация» (далее — Комиссия) рассмотрела Заявки, заключения и рекомендации экспертов и</w:t>
      </w:r>
      <w:r>
        <w:rPr>
          <w:b/>
        </w:rPr>
        <w:t> решила:</w:t>
      </w:r>
    </w:p>
    <w:tbl>
      <w:tblPr>
        <w:tblW w:w="10395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465"/>
        <w:gridCol w:w="3465"/>
        <w:gridCol w:w="3465"/>
      </w:tblGrid>
      <w:tr>
        <w:trPr/>
        <w:tc>
          <w:tcPr>
            <w:tcW w:w="346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keepNext w:val="true"/>
              <w:bidi w:val="0"/>
              <w:rPr>
                <w:b/>
              </w:rPr>
            </w:pPr>
            <w:r>
              <w:rPr>
                <w:b/>
              </w:rPr>
              <w:t>Идентификационный номер Участника</w:t>
            </w:r>
          </w:p>
        </w:tc>
        <w:tc>
          <w:tcPr>
            <w:tcW w:w="346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keepNext w:val="true"/>
              <w:bidi w:val="0"/>
              <w:rPr>
                <w:b/>
              </w:rPr>
            </w:pPr>
            <w:r>
              <w:rPr>
                <w:b/>
              </w:rPr>
              <w:t>Дата и время регистрации Заявки (МCК)</w:t>
            </w:r>
          </w:p>
        </w:tc>
        <w:tc>
          <w:tcPr>
            <w:tcW w:w="346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keepNext w:val="true"/>
              <w:bidi w:val="0"/>
              <w:rPr>
                <w:b/>
              </w:rPr>
            </w:pPr>
            <w:r>
              <w:rPr>
                <w:b/>
              </w:rPr>
              <w:t>Решение Комиссии о допуске/отклонении Заявки</w:t>
            </w:r>
          </w:p>
        </w:tc>
      </w:tr>
      <w:tr>
        <w:trPr/>
        <w:tc>
          <w:tcPr>
            <w:tcW w:w="346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1</w:t>
            </w:r>
          </w:p>
        </w:tc>
        <w:tc>
          <w:tcPr>
            <w:tcW w:w="346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10.02.2025 12:03</w:t>
            </w:r>
          </w:p>
        </w:tc>
        <w:tc>
          <w:tcPr>
            <w:tcW w:w="346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Допустить</w:t>
            </w:r>
          </w:p>
        </w:tc>
      </w:tr>
      <w:tr>
        <w:trPr/>
        <w:tc>
          <w:tcPr>
            <w:tcW w:w="346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2</w:t>
            </w:r>
          </w:p>
        </w:tc>
        <w:tc>
          <w:tcPr>
            <w:tcW w:w="346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10.02.2025 17:18</w:t>
            </w:r>
          </w:p>
        </w:tc>
        <w:tc>
          <w:tcPr>
            <w:tcW w:w="346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Допустить</w:t>
            </w:r>
          </w:p>
        </w:tc>
      </w:tr>
    </w:tbl>
    <w:p>
      <w:pPr>
        <w:pStyle w:val="wa3"/>
        <w:bidi w:val="0"/>
        <w:spacing w:before="0" w:after="0"/>
        <w:rPr/>
      </w:pPr>
      <w:r>
        <w:rPr/>
        <w:t>Количество отклоненных Заявок — 0.</w:t>
      </w:r>
    </w:p>
    <w:p>
      <w:pPr>
        <w:pStyle w:val="wa3"/>
        <w:bidi w:val="0"/>
        <w:spacing w:before="0" w:after="0"/>
        <w:rPr/>
      </w:pPr>
      <w:r>
        <w:rPr/>
        <w:t>По результатам оценки Заявок присвоить им значения по критериям в соответствии с разделом 2 Методики анализа и оценки заявок на участие в конкурентном отборе с определением порядковых номеров Заявок:</w:t>
      </w:r>
    </w:p>
    <w:tbl>
      <w:tblPr>
        <w:tblW w:w="10395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078"/>
        <w:gridCol w:w="2079"/>
        <w:gridCol w:w="2079"/>
        <w:gridCol w:w="2079"/>
        <w:gridCol w:w="2080"/>
      </w:tblGrid>
      <w:tr>
        <w:trPr/>
        <w:tc>
          <w:tcPr>
            <w:tcW w:w="20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keepNext w:val="true"/>
              <w:bidi w:val="0"/>
              <w:rPr>
                <w:b/>
              </w:rPr>
            </w:pPr>
            <w:r>
              <w:rPr>
                <w:b/>
              </w:rPr>
              <w:t>Идентификационный номер Участника</w:t>
            </w:r>
          </w:p>
        </w:tc>
        <w:tc>
          <w:tcPr>
            <w:tcW w:w="20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keepNext w:val="true"/>
              <w:bidi w:val="0"/>
              <w:rPr>
                <w:b/>
              </w:rPr>
            </w:pPr>
            <w:r>
              <w:rPr>
                <w:b/>
              </w:rPr>
              <w:t>Стоимостной критерий</w:t>
            </w:r>
          </w:p>
        </w:tc>
        <w:tc>
          <w:tcPr>
            <w:tcW w:w="20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keepNext w:val="true"/>
              <w:bidi w:val="0"/>
              <w:rPr>
                <w:b/>
              </w:rPr>
            </w:pPr>
            <w:r>
              <w:rPr>
                <w:b/>
              </w:rPr>
              <w:t>Нестоимостной критерий</w:t>
            </w:r>
          </w:p>
        </w:tc>
        <w:tc>
          <w:tcPr>
            <w:tcW w:w="20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keepNext w:val="true"/>
              <w:bidi w:val="0"/>
              <w:rPr>
                <w:b/>
              </w:rPr>
            </w:pPr>
            <w:r>
              <w:rPr>
                <w:b/>
              </w:rPr>
              <w:t>Итоговая оценка (значения в баллах)</w:t>
            </w:r>
          </w:p>
        </w:tc>
        <w:tc>
          <w:tcPr>
            <w:tcW w:w="20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keepNext w:val="true"/>
              <w:bidi w:val="0"/>
              <w:rPr>
                <w:b/>
              </w:rPr>
            </w:pPr>
            <w:r>
              <w:rPr>
                <w:b/>
              </w:rPr>
              <w:t>Присвоенный порядковый номер (значение) Заявки</w:t>
            </w:r>
          </w:p>
        </w:tc>
      </w:tr>
      <w:tr>
        <w:trPr/>
        <w:tc>
          <w:tcPr>
            <w:tcW w:w="20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2</w:t>
            </w:r>
          </w:p>
        </w:tc>
        <w:tc>
          <w:tcPr>
            <w:tcW w:w="20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59,40</w:t>
            </w:r>
          </w:p>
        </w:tc>
        <w:tc>
          <w:tcPr>
            <w:tcW w:w="20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7,00</w:t>
            </w:r>
          </w:p>
        </w:tc>
        <w:tc>
          <w:tcPr>
            <w:tcW w:w="20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66,40</w:t>
            </w:r>
          </w:p>
        </w:tc>
        <w:tc>
          <w:tcPr>
            <w:tcW w:w="20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20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1</w:t>
            </w:r>
          </w:p>
        </w:tc>
        <w:tc>
          <w:tcPr>
            <w:tcW w:w="20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60,00</w:t>
            </w:r>
          </w:p>
        </w:tc>
        <w:tc>
          <w:tcPr>
            <w:tcW w:w="20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5,00</w:t>
            </w:r>
          </w:p>
        </w:tc>
        <w:tc>
          <w:tcPr>
            <w:tcW w:w="20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65,00</w:t>
            </w:r>
          </w:p>
        </w:tc>
        <w:tc>
          <w:tcPr>
            <w:tcW w:w="20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2</w:t>
            </w:r>
          </w:p>
        </w:tc>
      </w:tr>
    </w:tbl>
    <w:p>
      <w:pPr>
        <w:pStyle w:val="wa3"/>
        <w:bidi w:val="0"/>
        <w:spacing w:before="0" w:after="0"/>
        <w:rPr/>
      </w:pPr>
      <w:r>
        <w:rPr/>
        <w:t>Определить победителем Участника с идентификационным номером 2, Заявке которого присвоен первый порядковый номер, с ценовым предложением</w:t>
      </w:r>
      <w:r>
        <w:rPr>
          <w:b/>
        </w:rPr>
        <w:t> 14 688 000,00</w:t>
      </w:r>
      <w:r>
        <w:rPr/>
        <w:t> руб. (с НДС).</w:t>
      </w:r>
    </w:p>
    <w:p>
      <w:pPr>
        <w:pStyle w:val="wa3"/>
        <w:bidi w:val="0"/>
        <w:spacing w:before="0" w:after="0"/>
        <w:ind w:hanging="0"/>
        <w:jc w:val="both"/>
        <w:rPr/>
      </w:pPr>
      <w:r>
        <w:rPr/>
        <w:t>Цена договора, заключаемого по итогам конкурентного отбора, не может превышать цену договора, указанную в Заявке победителя.</w:t>
      </w:r>
    </w:p>
    <w:p>
      <w:pPr>
        <w:pStyle w:val="wa3"/>
        <w:bidi w:val="0"/>
        <w:spacing w:before="0" w:after="0"/>
        <w:ind w:hanging="0"/>
        <w:jc w:val="both"/>
        <w:rPr/>
      </w:pPr>
      <w:r>
        <w:rPr/>
        <w:t>Цены, указываемые в спецификациях, являющихся приложением к договору, не должны превышать цен, указанных в Заявке победителя в форме № 1 по каждой позиции.</w:t>
      </w:r>
    </w:p>
    <w:p>
      <w:pPr>
        <w:pStyle w:val="wa3"/>
        <w:bidi w:val="0"/>
        <w:spacing w:before="0" w:after="0"/>
        <w:ind w:hanging="0"/>
        <w:jc w:val="both"/>
        <w:rPr/>
      </w:pPr>
      <w:r>
        <w:rPr/>
        <w:t>Объем закупаемых товаров, работ, услуг и сроки исполнения договора определены в соответствии с документацией о конкурентном отборе.</w:t>
      </w:r>
    </w:p>
    <w:p>
      <w:pPr>
        <w:pStyle w:val="wa3"/>
        <w:bidi w:val="0"/>
        <w:jc w:val="end"/>
        <w:rPr/>
      </w:pPr>
      <w:r>
        <w:rPr>
          <w:b/>
        </w:rPr>
        <w:t xml:space="preserve">Дата подписания </w:t>
      </w:r>
      <w:r>
        <w:rPr>
          <w:b/>
        </w:rPr>
        <w:t>«03» марта 2025 г</w:t>
      </w:r>
      <w:r>
        <w:rPr>
          <w:b/>
        </w:rPr>
        <w:t>.</w:t>
      </w:r>
    </w:p>
    <w:p>
      <w:pPr>
        <w:pStyle w:val="wa3"/>
        <w:bidi w:val="0"/>
        <w:ind w:hanging="0"/>
        <w:rPr/>
      </w:pPr>
      <w:r>
        <w:rPr/>
      </w:r>
    </w:p>
    <w:sectPr>
      <w:headerReference w:type="even" r:id="rId2"/>
      <w:headerReference w:type="default" r:id="rId3"/>
      <w:footerReference w:type="even" r:id="rId4"/>
      <w:footerReference w:type="default" r:id="rId5"/>
      <w:type w:val="nextPage"/>
      <w:pgSz w:w="12238" w:h="15838"/>
      <w:pgMar w:left="1134" w:right="709" w:gutter="0" w:header="720" w:top="851" w:footer="510" w:bottom="793"/>
      <w:pgNumType w:fmt="decimal"/>
      <w:formProt w:val="false"/>
      <w:titlePg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Star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wa9"/>
      <w:bidi w:val="0"/>
      <w:spacing w:before="0" w:after="0"/>
      <w:ind w:hanging="0"/>
      <w:jc w:val="end"/>
      <w:rPr/>
    </w:pPr>
    <w:r>
      <w:rPr/>
      <w:fldChar w:fldCharType="begin"/>
    </w:r>
    <w:r>
      <w:rPr/>
      <w:instrText xml:space="preserve"> PAGE \* ARABIC </w:instrText>
    </w:r>
    <w:r>
      <w:rPr/>
      <w:fldChar w:fldCharType="separate"/>
    </w:r>
    <w:r>
      <w:rPr/>
      <w:t>0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wa9"/>
      <w:bidi w:val="0"/>
      <w:spacing w:before="0" w:after="0"/>
      <w:ind w:hanging="0"/>
      <w:jc w:val="end"/>
      <w:rPr/>
    </w:pPr>
    <w:r>
      <w:rPr/>
      <w:fldChar w:fldCharType="begin"/>
    </w:r>
    <w:r>
      <w:rPr/>
      <w:instrText xml:space="preserve"> PAGE \* ARABIC </w:instrText>
    </w:r>
    <w:r>
      <w:rPr/>
      <w:fldChar w:fldCharType="separate"/>
    </w:r>
    <w:r>
      <w:rPr/>
      <w:t>0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wa8"/>
      <w:bidi w:val="0"/>
      <w:spacing w:before="0" w:after="0"/>
      <w:ind w:hanging="0"/>
      <w:jc w:val="end"/>
      <w:rPr/>
    </w:pPr>
    <w:r>
      <w:rPr/>
      <w:t>Итоговый протокол № 1/0058/25/4.3/0001427/КаневЗГА/К/ГОС/Э/04.02.2025</w:t>
      <w:br/>
      <w:t>заседания комиссии по осуществлению конкурентного отбора ООО «Газпром комплектация»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wa8"/>
      <w:bidi w:val="0"/>
      <w:spacing w:before="0" w:after="0"/>
      <w:ind w:hanging="0"/>
      <w:jc w:val="end"/>
      <w:rPr/>
    </w:pPr>
    <w:r>
      <w:rPr/>
      <w:t>Итоговый протокол № 1/0058/25/4.3/0001427/КаневЗГА/К/ГОС/Э/04.02.2025</w:t>
      <w:br/>
      <w:t>заседания комиссии по осуществлению конкурентного отбора ООО «Газпром комплектация»</w: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evenAndOddHeaders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kern w:val="2"/>
        <w:lang w:val="ru-RU" w:eastAsia="ru-RU" w:bidi="sa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kern w:val="2"/>
      <w:sz w:val="20"/>
      <w:szCs w:val="20"/>
      <w:lang w:val="ru-RU" w:eastAsia="ru-RU" w:bidi="sa-SA"/>
    </w:rPr>
  </w:style>
  <w:style w:type="character" w:styleId="FootnoteCharacters">
    <w:name w:val="Footnote Characters"/>
    <w:qFormat/>
    <w:rPr/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StarSymbol" w:hAnsi="StarSymbol" w:eastAsia="StarSymbol" w:cs="StarSymbol"/>
      <w:sz w:val="18"/>
      <w:szCs w:val="18"/>
    </w:rPr>
  </w:style>
  <w:style w:type="character" w:styleId="EndnoteCharacters">
    <w:name w:val="End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wa0">
    <w:name w:val="wa0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wa">
    <w:name w:val="wa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kern w:val="2"/>
      <w:sz w:val="20"/>
      <w:szCs w:val="20"/>
      <w:lang w:val="ru-RU" w:eastAsia="ru-RU" w:bidi="sa-SA"/>
    </w:rPr>
  </w:style>
  <w:style w:type="paragraph" w:styleId="wa3">
    <w:name w:val="wa3"/>
    <w:qFormat/>
    <w:pPr>
      <w:widowControl w:val="false"/>
      <w:bidi w:val="0"/>
      <w:spacing w:before="0" w:after="0"/>
      <w:ind w:hanging="0"/>
      <w:jc w:val="both"/>
    </w:pPr>
    <w:rPr>
      <w:rFonts w:ascii="Times New Roman" w:hAnsi="Times New Roman" w:eastAsia="Times New Roman" w:cs="Times New Roman"/>
      <w:color w:val="auto"/>
      <w:kern w:val="2"/>
      <w:sz w:val="28"/>
      <w:szCs w:val="20"/>
      <w:lang w:val="ru-RU" w:eastAsia="ru-RU" w:bidi="sa-SA"/>
    </w:rPr>
  </w:style>
  <w:style w:type="paragraph" w:styleId="wa4">
    <w:name w:val="wa4"/>
    <w:basedOn w:val="wa3"/>
    <w:qFormat/>
    <w:pPr>
      <w:spacing w:before="0" w:after="0"/>
      <w:ind w:hanging="0"/>
      <w:jc w:val="center"/>
    </w:pPr>
    <w:rPr/>
  </w:style>
  <w:style w:type="paragraph" w:styleId="wa5">
    <w:name w:val="wa5"/>
    <w:qFormat/>
    <w:pPr>
      <w:widowControl w:val="false"/>
      <w:bidi w:val="0"/>
      <w:spacing w:before="0" w:after="0"/>
      <w:jc w:val="center"/>
    </w:pPr>
    <w:rPr>
      <w:rFonts w:ascii="Times New Roman" w:hAnsi="Times New Roman" w:eastAsia="Times New Roman" w:cs="Times New Roman"/>
      <w:color w:val="auto"/>
      <w:kern w:val="2"/>
      <w:sz w:val="28"/>
      <w:szCs w:val="20"/>
      <w:lang w:val="ru-RU" w:eastAsia="ru-RU" w:bidi="sa-SA"/>
    </w:rPr>
  </w:style>
  <w:style w:type="paragraph" w:styleId="wa6">
    <w:name w:val="wa6"/>
    <w:qFormat/>
    <w:pPr>
      <w:widowControl w:val="false"/>
      <w:bidi w:val="0"/>
      <w:spacing w:before="0" w:after="0"/>
      <w:jc w:val="center"/>
    </w:pPr>
    <w:rPr>
      <w:rFonts w:ascii="Times New Roman" w:hAnsi="Times New Roman" w:eastAsia="Times New Roman" w:cs="Times New Roman"/>
      <w:color w:val="auto"/>
      <w:kern w:val="2"/>
      <w:sz w:val="28"/>
      <w:szCs w:val="20"/>
      <w:lang w:val="ru-RU" w:eastAsia="ru-RU" w:bidi="sa-SA"/>
    </w:rPr>
  </w:style>
  <w:style w:type="paragraph" w:styleId="wa7">
    <w:name w:val="wa7"/>
    <w:basedOn w:val="wa3"/>
    <w:qFormat/>
    <w:pPr>
      <w:ind w:hanging="0"/>
      <w:jc w:val="center"/>
    </w:pPr>
    <w:rPr>
      <w:sz w:val="22"/>
    </w:rPr>
  </w:style>
  <w:style w:type="paragraph" w:styleId="wa8">
    <w:name w:val="wa8"/>
    <w:basedOn w:val="wa3"/>
    <w:qFormat/>
    <w:pPr>
      <w:spacing w:before="0" w:after="0"/>
      <w:ind w:hanging="0"/>
      <w:jc w:val="end"/>
    </w:pPr>
    <w:rPr>
      <w:sz w:val="20"/>
    </w:rPr>
  </w:style>
  <w:style w:type="paragraph" w:styleId="wa9">
    <w:name w:val="wa9"/>
    <w:basedOn w:val="wa3"/>
    <w:qFormat/>
    <w:pPr>
      <w:spacing w:before="0" w:after="0"/>
      <w:ind w:hanging="0"/>
      <w:jc w:val="end"/>
    </w:pPr>
    <w:rPr>
      <w:sz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Manager/>
  <TotalTime>2</TotalTime>
  <Application>LibreOffice/25.8.3.2$Linux_X86_64 LibreOffice_project/580$Build-2</Application>
  <HyperlinkBase/>
  <AppVersion>15.0000</AppVersion>
  <Pages>2</Pages>
  <Words>305</Words>
  <CharactersWithSpaces>1744</CharactersWithSpaces>
  <Paragraphs>4</Paragraphs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2025-03-03T09:00:00Z</dcterms:created>
  <dc:creator>Зинова Наталья Андреевна</dc:creator>
  <dc:description/>
  <cp:keywords/>
  <dc:language>en-US</dc:language>
  <cp:lastModifiedBy>Зинова Наталья Андреевна</cp:lastModifiedBy>
  <dcterms:modified xsi:type="dcterms:W3CDTF">2025-03-03T13:10:00Z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tegory">
    <vt:lpwstr/>
  </property>
  <property fmtid="{D5CDD505-2E9C-101B-9397-08002B2CF9AE}" pid="3" name="Version">
    <vt:lpwstr>15</vt:lpwstr>
  </property>
</Properties>
</file>