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b/>
        </w:rPr>
      </w:pPr>
      <w:r>
        <w:rPr>
          <w:b/>
        </w:rPr>
        <w:t xml:space="preserve">                                                                                 </w:t>
      </w:r>
    </w:p>
    <w:tbl>
      <w:tblPr>
        <w:tblpPr w:vertAnchor="page" w:horzAnchor="margin" w:tblpXSpec="center" w:leftFromText="180" w:rightFromText="180" w:tblpY="745"/>
        <w:tblW w:w="131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7796"/>
      </w:tblGrid>
      <w:tr>
        <w:trPr>
          <w:trHeight w:val="1135" w:hRule="atLeast"/>
        </w:trPr>
        <w:tc>
          <w:tcPr>
            <w:tcW w:w="5353" w:type="dxa"/>
            <w:tcBorders/>
          </w:tcPr>
          <w:p>
            <w:pPr>
              <w:pStyle w:val="Normal"/>
              <w:snapToGrid w:val="false"/>
              <w:ind w:firstLine="851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96" w:type="dxa"/>
            <w:tcBorders/>
          </w:tcPr>
          <w:p>
            <w:pPr>
              <w:pStyle w:val="HTML1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ind w:start="2302" w:end="0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УТВЕРЖДАЮ</w:t>
            </w:r>
          </w:p>
          <w:p>
            <w:pPr>
              <w:pStyle w:val="Normal"/>
              <w:jc w:val="end"/>
              <w:rPr/>
            </w:pPr>
            <w:r>
              <w:rPr/>
              <w:t>Генеральный директор АО «НПК «Дедал»</w:t>
            </w:r>
          </w:p>
          <w:p>
            <w:pPr>
              <w:pStyle w:val="Normal"/>
              <w:jc w:val="end"/>
              <w:rPr/>
            </w:pPr>
            <w:r>
              <w:rPr/>
              <w:t>________________Д.М. Пименов</w:t>
            </w:r>
          </w:p>
          <w:p>
            <w:pPr>
              <w:pStyle w:val="HTML1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1168" w:leader="none"/>
                <w:tab w:val="left" w:pos="1832" w:leader="none"/>
                <w:tab w:val="left" w:pos="2019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jc w:val="end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  <w:t>«15» декабря 2025 года</w:t>
            </w:r>
          </w:p>
        </w:tc>
      </w:tr>
    </w:tbl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Heading1"/>
        <w:spacing w:before="0" w:after="0"/>
        <w:ind w:hanging="0" w:start="0" w:end="396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Аналитическая записка к закупке </w:t>
      </w:r>
      <w:r>
        <w:rPr>
          <w:rFonts w:cs="Times New Roman" w:ascii="Times New Roman" w:hAnsi="Times New Roman"/>
          <w:u w:val="single"/>
          <w:lang w:val="ru-RU"/>
        </w:rPr>
        <w:t>на оказание услуг по предоставлению доступа к сети Интернет для АО «НПК «Дедал».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/>
          <w:lang w:val="ru-RU"/>
        </w:rPr>
      </w:r>
    </w:p>
    <w:p>
      <w:pPr>
        <w:pStyle w:val="Normal"/>
        <w:tabs>
          <w:tab w:val="clear" w:pos="708"/>
          <w:tab w:val="left" w:pos="-284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 xml:space="preserve">1. Заказчик: </w:t>
      </w:r>
      <w:r>
        <w:rPr>
          <w:i/>
        </w:rPr>
        <w:t>АО «НПК «Дедал».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2. Обоснование проведения мелкой закупки (в соответствии с п./п. 1 А) п.1 статьи 4.2.2 ЕОСЗ ГК «Росатом»): закупки, стоимостью до 2 млн. руб. с НДС (включительно) для любых видов продукции.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rFonts w:eastAsia="Calibri"/>
          <w:lang w:eastAsia="en-US"/>
        </w:rPr>
      </w:pPr>
      <w:r>
        <w:rPr>
          <w:bCs/>
          <w:kern w:val="2"/>
        </w:rPr>
        <w:t xml:space="preserve">3. Начальная (максимальная) цена: </w:t>
      </w:r>
      <w:r>
        <w:rPr>
          <w:rFonts w:eastAsia="Calibri"/>
          <w:lang w:eastAsia="en-US"/>
        </w:rPr>
        <w:t>607 680 (шестьсот семь тысяч шестьсот восемьдесят) рублей 00 копеек, включая НДС 7%.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4. Сравнение предложений исполнителей:</w:t>
      </w:r>
    </w:p>
    <w:tbl>
      <w:tblPr>
        <w:tblW w:w="15310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2977"/>
        <w:gridCol w:w="3686"/>
        <w:gridCol w:w="3685"/>
        <w:gridCol w:w="3686"/>
        <w:gridCol w:w="567"/>
      </w:tblGrid>
      <w:tr>
        <w:trPr>
          <w:trHeight w:val="70" w:hRule="atLeast"/>
        </w:trPr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20" w:end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Основные условия предложения исполнителя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113" w:end="175"/>
              <w:jc w:val="center"/>
              <w:rPr/>
            </w:pPr>
            <w:r>
              <w:rPr/>
              <w:t>Описание предложений исполнителей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75"/>
              <w:jc w:val="center"/>
              <w:rPr/>
            </w:pPr>
            <w:r>
              <w:rPr/>
              <w:t>Примечание</w:t>
            </w:r>
          </w:p>
        </w:tc>
      </w:tr>
      <w:tr>
        <w:trPr>
          <w:trHeight w:val="711" w:hRule="atLeast"/>
          <w:cantSplit w:val="true"/>
        </w:trPr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hanging="20" w:end="0"/>
              <w:jc w:val="center"/>
              <w:rPr/>
            </w:pPr>
            <w:r>
              <w:rPr/>
            </w:r>
          </w:p>
        </w:tc>
        <w:tc>
          <w:tcPr>
            <w:tcW w:w="29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АТКП 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Участник 1 (242078)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АТКП 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Участник 2 (242105)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АТКП 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Участник 3 (242120)</w:t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>
          <w:trHeight w:val="18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rPr>
          <w:trHeight w:val="41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Предлагаемая услуга</w:t>
            </w:r>
          </w:p>
        </w:tc>
        <w:tc>
          <w:tcPr>
            <w:tcW w:w="11057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jc w:val="both"/>
              <w:rPr>
                <w:i/>
                <w:i/>
              </w:rPr>
            </w:pPr>
            <w:r>
              <w:rPr>
                <w:i/>
              </w:rPr>
              <w:t>Оказание услуг по предоставлению доступа к сети Интернет для АО «НПК «Дедал»:</w:t>
            </w:r>
          </w:p>
          <w:p>
            <w:pPr>
              <w:pStyle w:val="Normal"/>
              <w:tabs>
                <w:tab w:val="clear" w:pos="708"/>
                <w:tab w:val="left" w:pos="233" w:leader="none"/>
              </w:tabs>
              <w:jc w:val="both"/>
              <w:rPr>
                <w:iCs/>
              </w:rPr>
            </w:pPr>
            <w:r>
              <w:rPr>
                <w:iCs/>
              </w:rPr>
              <w:t>- услуги по представлению доступа к сети Интернет со скоростью не ниже 300 Мбит/с;</w:t>
            </w:r>
          </w:p>
          <w:p>
            <w:pPr>
              <w:pStyle w:val="Normal"/>
              <w:tabs>
                <w:tab w:val="clear" w:pos="708"/>
                <w:tab w:val="left" w:pos="233" w:leader="none"/>
              </w:tabs>
              <w:jc w:val="both"/>
              <w:rPr>
                <w:i/>
                <w:i/>
              </w:rPr>
            </w:pPr>
            <w:r>
              <w:rPr>
                <w:iCs/>
              </w:rPr>
              <w:t>- услуга по предоставлению пула из 8-ми реальных ip адресов.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napToGrid w:val="false"/>
              <w:jc w:val="both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>
          <w:trHeight w:val="51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Количество предлагаемой услуги</w:t>
            </w:r>
          </w:p>
        </w:tc>
        <w:tc>
          <w:tcPr>
            <w:tcW w:w="11057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Характеристики предлагаемой услуги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jc w:val="center"/>
              <w:rPr>
                <w:i/>
                <w:i/>
              </w:rPr>
            </w:pPr>
            <w:r>
              <w:rPr>
                <w:i/>
              </w:rPr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Вывод о соответствии предлагаемой услуги установленным требованиям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Услуги соответствуют заявленному качеству, количеству и техническим характеристикам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000000"/>
              </w:rPr>
              <w:t>Цена предложения, с учетом срока оказания услуг: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607 680,00 руб., в т.ч НДС 7%,</w:t>
            </w:r>
          </w:p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(567 925,23 руб., без НДС)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636 720,00 руб., НДС не облагается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695 760,00 руб., НДС не облагается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5.1.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Цена услуги по представлению доступа к сети Интернет со скоростью не ниже 300 Мбит/с, за месяц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23 000,00 руб., в т.ч НДС 7%,</w:t>
            </w:r>
          </w:p>
          <w:p>
            <w:pPr>
              <w:pStyle w:val="Normal"/>
              <w:jc w:val="center"/>
              <w:rPr/>
            </w:pPr>
            <w:r>
              <w:rPr/>
              <w:t>(21 495,33 руб., без НДС)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25 000,00 руб., НДС не облагается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26 000,00 руб., НДС не облагается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5.2.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Цена</w:t>
            </w:r>
            <w:r>
              <w:rPr>
                <w:iCs/>
              </w:rPr>
              <w:t xml:space="preserve"> услуги по предоставлению пула из 8-ми реальных ip адресов, за месяц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2 320,00 в т.ч НДС 7%, </w:t>
            </w:r>
          </w:p>
          <w:p>
            <w:pPr>
              <w:pStyle w:val="Normal"/>
              <w:jc w:val="center"/>
              <w:rPr/>
            </w:pPr>
            <w:r>
              <w:rPr/>
              <w:t>(2 168,22 руб., без НДС)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1 530,00 руб., НДС не облагается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2 990,00 руб., НДС не облагается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исполнения договора: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6.1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оказания услуг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  <w:kern w:val="2"/>
              </w:rPr>
              <w:t>В соответствии с проектом договора.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6.2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Место оказания услуг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562" w:leader="none"/>
              </w:tabs>
              <w:jc w:val="center"/>
              <w:rPr>
                <w:color w:val="FF0000"/>
              </w:rPr>
            </w:pPr>
            <w:r>
              <w:rPr>
                <w:bCs/>
                <w:kern w:val="2"/>
              </w:rPr>
              <w:t>В соответствии с проектом договора.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6.3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Форма, срок и порядок оплаты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/>
              <w:t>В соответствии с проектом договора.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6.4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 оказания услуг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</w:rPr>
              <w:t>В течение 2-х лет, с 01.01.2026 г. по 31.12.2027 г.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6.5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Сроки и объем гарантийных обязательств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6.6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Иные условия исполнения договора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Вывод о соответствии предложения исполнителя существенным условиям проекта договора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Соответствует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Соответствие исполнителя предъявляемым требованиям (критериям отбора)</w:t>
            </w:r>
            <w:r>
              <w:rPr>
                <w:i/>
              </w:rPr>
              <w:t xml:space="preserve">, </w:t>
            </w:r>
            <w:r>
              <w:rPr>
                <w:i/>
                <w:sz w:val="15"/>
                <w:szCs w:val="15"/>
              </w:rPr>
              <w:t>в том числе:</w:t>
            </w:r>
          </w:p>
          <w:p>
            <w:pPr>
              <w:pStyle w:val="Normal"/>
              <w:rPr/>
            </w:pPr>
            <w:r>
              <w:rPr>
                <w:i/>
                <w:sz w:val="15"/>
                <w:szCs w:val="15"/>
              </w:rPr>
              <w:t>- наличие гражданской правоспособности в полном объеме для заключения и исполнения договора;</w:t>
            </w:r>
          </w:p>
          <w:p>
            <w:pPr>
              <w:pStyle w:val="Normal"/>
              <w:rPr>
                <w:i/>
                <w:i/>
                <w:sz w:val="15"/>
                <w:szCs w:val="15"/>
              </w:rPr>
            </w:pPr>
            <w:r>
              <w:rPr>
                <w:i/>
                <w:sz w:val="15"/>
                <w:szCs w:val="15"/>
              </w:rPr>
              <w:t>- наличие необходимых лицензий, разрешений, допусков на выполнение определенных видов работ;</w:t>
            </w:r>
          </w:p>
          <w:p>
            <w:pPr>
              <w:pStyle w:val="Normal"/>
              <w:rPr>
                <w:i/>
                <w:i/>
                <w:sz w:val="15"/>
                <w:szCs w:val="15"/>
              </w:rPr>
            </w:pPr>
            <w:r>
              <w:rPr>
                <w:i/>
                <w:sz w:val="15"/>
                <w:szCs w:val="15"/>
              </w:rPr>
              <w:t>- наличие необходимых профессиональных знаний, опыта выполнения работ;</w:t>
            </w:r>
          </w:p>
          <w:p>
            <w:pPr>
              <w:pStyle w:val="Normal"/>
              <w:rPr>
                <w:i/>
                <w:i/>
                <w:sz w:val="15"/>
                <w:szCs w:val="15"/>
              </w:rPr>
            </w:pPr>
            <w:r>
              <w:rPr>
                <w:i/>
                <w:sz w:val="15"/>
                <w:szCs w:val="15"/>
              </w:rPr>
              <w:t>- наличие кадровых и материальных ресурсов для исполнения договора;</w:t>
            </w:r>
          </w:p>
          <w:p>
            <w:pPr>
              <w:pStyle w:val="Normal"/>
              <w:rPr>
                <w:i/>
                <w:i/>
                <w:sz w:val="15"/>
                <w:szCs w:val="15"/>
              </w:rPr>
            </w:pPr>
            <w:r>
              <w:rPr>
                <w:i/>
                <w:sz w:val="15"/>
                <w:szCs w:val="15"/>
              </w:rPr>
              <w:t>- и т.д.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Соответствует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Критерии оценки исполнителей:</w:t>
            </w:r>
          </w:p>
        </w:tc>
        <w:tc>
          <w:tcPr>
            <w:tcW w:w="110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9.1.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Цена предложения итого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607 680,00 руб., в т.ч НДС 7%,</w:t>
            </w:r>
          </w:p>
          <w:p>
            <w:pPr>
              <w:pStyle w:val="Normal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(567 925,23 руб., без НДС)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636 720,00 руб., НДС не облагается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695 760,00 руб., НДС не облагается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</w:r>
          </w:p>
        </w:tc>
      </w:tr>
      <w:tr>
        <w:trPr>
          <w:trHeight w:val="70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10.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ИТОГОВАЯ ОЦЕНКА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Наименьшая цена.</w:t>
            </w:r>
          </w:p>
        </w:tc>
        <w:tc>
          <w:tcPr>
            <w:tcW w:w="3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-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ind w:firstLine="709" w:start="-567" w:end="300"/>
        <w:jc w:val="both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ind w:firstLine="709" w:start="-567" w:end="300"/>
        <w:jc w:val="both"/>
        <w:rPr/>
      </w:pPr>
      <w:r>
        <w:rPr>
          <w:b/>
          <w:bCs/>
          <w:kern w:val="2"/>
        </w:rPr>
        <w:t xml:space="preserve">Обоснование выбора исполнителя: </w:t>
      </w:r>
    </w:p>
    <w:p>
      <w:pPr>
        <w:pStyle w:val="Normal"/>
        <w:ind w:firstLine="709" w:start="-567" w:end="301"/>
        <w:jc w:val="both"/>
        <w:rPr/>
      </w:pPr>
      <w:r>
        <w:rPr/>
        <w:t>Для заключения договора на оказание услуг по предоставлению доступа к сети Интернет для АО «НПК «Дедал», 12.11.2025 на ЭТП ЭТС-Фабрикант, РТС-Тендер, АО «Единая электронная торговая площадка» и АО «Сбербанк-АСТ» были направлены электронные запросы ТКП, в ответ на запрос ЭТКП не поступало.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 xml:space="preserve">Также были направлены запросы на предоставление АТКП, получены адресные ТКП от: 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1)</w:t>
      </w:r>
      <w:bookmarkStart w:id="0" w:name="_Hlk204698747"/>
      <w:r>
        <w:rPr/>
        <w:t xml:space="preserve"> Участник 1 (242078) </w:t>
      </w:r>
      <w:bookmarkEnd w:id="0"/>
      <w:r>
        <w:rPr/>
        <w:t>с ценой предложения 607 680,00 руб., в т.ч НДС 7%, (567 925,23 руб., без НДС);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2) Участник 2 (242105) с ценой предложения 636 720,00 руб., НДС не облагается;</w:t>
      </w:r>
    </w:p>
    <w:p>
      <w:pPr>
        <w:pStyle w:val="Normal"/>
        <w:spacing w:lineRule="auto" w:line="276"/>
        <w:ind w:firstLine="709" w:start="-567" w:end="301"/>
        <w:jc w:val="both"/>
        <w:rPr/>
      </w:pPr>
      <w:r>
        <w:rPr/>
        <w:t>3) Участник 3 (242120) с ценой предложения 695 760,00 руб., НДС не облагается.</w:t>
      </w:r>
    </w:p>
    <w:p>
      <w:pPr>
        <w:pStyle w:val="Normal"/>
        <w:ind w:firstLine="709" w:start="-567" w:end="301"/>
        <w:jc w:val="both"/>
        <w:rPr/>
      </w:pPr>
      <w:r>
        <w:rPr/>
        <w:t xml:space="preserve">Полученные предложения соответствуют предъявленным требованиям заказчика. Предлагаемые цены не требуют пересчета стоимости в текущий уровень цен, поскольку указаны на дату подготовки процедуры закупки. </w:t>
      </w:r>
    </w:p>
    <w:p>
      <w:pPr>
        <w:pStyle w:val="Normal"/>
        <w:ind w:firstLine="709" w:start="-567" w:end="301"/>
        <w:jc w:val="both"/>
        <w:rPr/>
      </w:pPr>
      <w:r>
        <w:rPr/>
        <w:t>На основании вышеизложенного и в связи с предоставлением информации о цепочке собственников с подтверждающими документами наиболее целесообразно заключить договор с Участником1 (242078), предложившим минимальную стоимость оказания услуг.</w:t>
      </w:r>
    </w:p>
    <w:p>
      <w:pPr>
        <w:pStyle w:val="Normal"/>
        <w:ind w:firstLine="709" w:start="-567" w:end="301"/>
        <w:jc w:val="both"/>
        <w:rPr>
          <w:bCs/>
        </w:rPr>
      </w:pPr>
      <w:r>
        <w:rPr>
          <w:b/>
          <w:bCs/>
        </w:rPr>
        <w:t>Результаты переговоров по снижению цены:</w:t>
      </w:r>
      <w:r>
        <w:rPr/>
        <w:t xml:space="preserve"> с Участником 1 (242078) проведены переговоры по снижению цены договора, в результате цена договора исполнителя осталась неизменной </w:t>
      </w:r>
      <w:r>
        <w:rPr>
          <w:bCs/>
          <w:kern w:val="2"/>
        </w:rPr>
        <w:t>и составляет</w:t>
      </w:r>
      <w:r>
        <w:rPr/>
        <w:t xml:space="preserve"> </w:t>
      </w:r>
      <w:r>
        <w:rPr>
          <w:rFonts w:eastAsia="Calibri"/>
          <w:lang w:eastAsia="en-US"/>
        </w:rPr>
        <w:t>607 680 (шестьсот семь тысяч шестьсот восемьдесят) рублей 00 копеек, включая НДС 7%.</w:t>
      </w:r>
    </w:p>
    <w:p>
      <w:pPr>
        <w:pStyle w:val="Normal"/>
        <w:ind w:firstLine="709" w:start="-567" w:end="301"/>
        <w:jc w:val="both"/>
        <w:rPr/>
      </w:pPr>
      <w:r>
        <w:rPr>
          <w:b/>
          <w:bCs/>
          <w:kern w:val="2"/>
        </w:rPr>
        <w:t>Приложения:</w:t>
      </w:r>
      <w:r>
        <w:rPr/>
        <w:t xml:space="preserve"> АТКП; разрешение на информационный обмен; заключение ПДТК о возможности открытого опубликования; проект договора.</w:t>
      </w:r>
    </w:p>
    <w:p>
      <w:pPr>
        <w:pStyle w:val="Normal"/>
        <w:spacing w:lineRule="auto" w:line="360"/>
        <w:ind w:firstLine="709" w:start="-567" w:end="301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>
          <w:sz w:val="26"/>
          <w:szCs w:val="26"/>
        </w:rPr>
      </w:pPr>
      <w:r>
        <w:rPr/>
        <w:t>Начальник УМТО</w:t>
      </w:r>
      <w:r>
        <w:rPr>
          <w:sz w:val="26"/>
          <w:szCs w:val="26"/>
        </w:rPr>
        <w:tab/>
        <w:t xml:space="preserve">              </w:t>
      </w:r>
      <w:r>
        <w:rPr/>
        <w:t>_____________ Сидоров Е.Ф.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567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(должность руководителя подразделения – инициатора закупки)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60"/>
        <w:ind w:firstLine="709" w:end="0"/>
        <w:jc w:val="both"/>
        <w:rPr/>
      </w:pPr>
      <w:r>
        <w:rPr/>
        <w:t>Согласовано:</w:t>
      </w:r>
    </w:p>
    <w:p>
      <w:pPr>
        <w:pStyle w:val="Normal"/>
        <w:tabs>
          <w:tab w:val="clear" w:pos="708"/>
          <w:tab w:val="left" w:pos="10620" w:leader="none"/>
        </w:tabs>
        <w:ind w:firstLine="709" w:end="0"/>
        <w:jc w:val="both"/>
        <w:rPr/>
      </w:pPr>
      <w:r>
        <w:rPr/>
        <w:t>Советник генерального директора по закупочной деятельности                                                                 _____________ Тараканов В.А.</w:t>
      </w:r>
    </w:p>
    <w:p>
      <w:pPr>
        <w:pStyle w:val="Normal"/>
        <w:tabs>
          <w:tab w:val="clear" w:pos="708"/>
          <w:tab w:val="left" w:pos="10185" w:leader="none"/>
        </w:tabs>
        <w:ind w:firstLine="709" w:end="0"/>
        <w:rPr>
          <w:b/>
          <w:bCs/>
          <w:kern w:val="2"/>
          <w:sz w:val="20"/>
          <w:szCs w:val="20"/>
        </w:rPr>
      </w:pPr>
      <w:r>
        <w:rPr>
          <w:b/>
          <w:bCs/>
          <w:kern w:val="2"/>
          <w:sz w:val="20"/>
          <w:szCs w:val="20"/>
        </w:rPr>
      </w:r>
    </w:p>
    <w:sectPr>
      <w:type w:val="nextPage"/>
      <w:pgSz w:orient="landscape" w:w="16838" w:h="11906"/>
      <w:pgMar w:left="1418" w:right="567" w:gutter="0" w:header="0" w:top="1134" w:footer="0" w:bottom="851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WW8Num2z1">
    <w:name w:val="WW8Num2z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WW8Num3z0">
    <w:name w:val="WW8Num3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character" w:styleId="Style16">
    <w:name w:val="Схема документа Знак"/>
    <w:qFormat/>
    <w:rPr>
      <w:rFonts w:ascii="Tahoma" w:hAnsi="Tahoma" w:eastAsia="Times New Roman" w:cs="Tahoma"/>
      <w:sz w:val="16"/>
      <w:szCs w:val="16"/>
    </w:rPr>
  </w:style>
  <w:style w:type="character" w:styleId="2">
    <w:name w:val="Основной текст с отступом 2 Знак"/>
    <w:qFormat/>
    <w:rPr>
      <w:sz w:val="24"/>
      <w:szCs w:val="24"/>
      <w:lang w:val="ru-RU" w:bidi="ar-SA"/>
    </w:rPr>
  </w:style>
  <w:style w:type="character" w:styleId="11">
    <w:name w:val="Заголовок 1 Знак Знак Знак Знак Знак Знак Знак Знак Знак Знак"/>
    <w:qFormat/>
    <w:rPr>
      <w:rFonts w:ascii="Arial" w:hAnsi="Arial" w:cs="Arial"/>
      <w:b/>
      <w:bCs/>
      <w:kern w:val="2"/>
      <w:sz w:val="32"/>
      <w:szCs w:val="32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12">
    <w:name w:val="Основной текст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Style18">
    <w:name w:val="Основной текст с отступом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9">
    <w:name w:val="Абзац списка Знак"/>
    <w:qFormat/>
    <w:rPr>
      <w:rFonts w:cs="Calibri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0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rFonts w:ascii="Calibri" w:hAnsi="Calibri" w:eastAsia="Calibri" w:cs="Calibri"/>
    </w:rPr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2">
    <w:name w:val="Простой текст"/>
    <w:basedOn w:val="Normal"/>
    <w:qFormat/>
    <w:pPr>
      <w:widowControl w:val="false"/>
      <w:spacing w:lineRule="auto" w:line="360"/>
      <w:ind w:firstLine="567" w:start="284" w:end="0"/>
      <w:jc w:val="both"/>
    </w:pPr>
    <w:rPr>
      <w:sz w:val="28"/>
      <w:szCs w:val="20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start="720" w:end="0"/>
      <w:contextualSpacing/>
      <w:jc w:val="both"/>
    </w:pPr>
    <w:rPr>
      <w:rFonts w:ascii="Calibri" w:hAnsi="Calibri" w:eastAsia="Calibri" w:cs="Calibri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2025-12-15T10:23:00Z</dcterms:created>
  <dc:creator>Вашуркин Д.В. Росатом</dc:creator>
  <dc:description/>
  <cp:keywords/>
  <dc:language>en-US</dc:language>
  <cp:lastModifiedBy>Потапова Яна Сергеевна</cp:lastModifiedBy>
  <cp:lastPrinted>2020-12-24T18:38:00Z</cp:lastPrinted>
  <dcterms:modified xsi:type="dcterms:W3CDTF">2025-12-15T10:28:00Z</dcterms:modified>
  <cp:revision>6</cp:revision>
  <dc:subject/>
  <dc:title/>
</cp:coreProperties>
</file>