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hanging="0" w:start="0"/>
        <w:jc w:val="center"/>
        <w:rPr>
          <w:rFonts w:ascii="Times New Roman" w:hAnsi="Times New Roman" w:cs="Times New Roman"/>
          <w:b w:val="false"/>
          <w:sz w:val="22"/>
          <w:szCs w:val="22"/>
        </w:rPr>
      </w:pPr>
      <w:r>
        <w:rPr>
          <w:rFonts w:cs="Times New Roman" w:ascii="Times New Roman" w:hAnsi="Times New Roman"/>
          <w:b w:val="false"/>
          <w:sz w:val="22"/>
          <w:szCs w:val="22"/>
        </w:rPr>
        <w:t xml:space="preserve">Протокол № </w:t>
      </w:r>
      <w:r>
        <w:rPr>
          <w:rFonts w:cs="Times New Roman" w:ascii="Times New Roman" w:hAnsi="Times New Roman"/>
          <w:b w:val="false"/>
          <w:iCs/>
          <w:sz w:val="22"/>
          <w:szCs w:val="22"/>
        </w:rPr>
        <w:t>32514507547-01</w:t>
      </w:r>
    </w:p>
    <w:p>
      <w:pPr>
        <w:pStyle w:val="Heading1"/>
        <w:spacing w:before="0" w:after="0"/>
        <w:ind w:hanging="0" w:start="0"/>
        <w:jc w:val="center"/>
        <w:rPr/>
      </w:pPr>
      <w:r>
        <w:rPr>
          <w:rFonts w:cs="Times New Roman" w:ascii="Times New Roman" w:hAnsi="Times New Roman"/>
          <w:b w:val="false"/>
          <w:sz w:val="22"/>
          <w:szCs w:val="22"/>
        </w:rPr>
        <w:t xml:space="preserve">по рассмотрению заявок на участие в конкурсе в электронной форме </w:t>
      </w:r>
    </w:p>
    <w:p>
      <w:pPr>
        <w:pStyle w:val="Heading1"/>
        <w:spacing w:before="0" w:after="0"/>
        <w:ind w:hanging="0" w:start="0"/>
        <w:jc w:val="center"/>
        <w:rPr>
          <w:rFonts w:ascii="Times New Roman" w:hAnsi="Times New Roman" w:cs="Times New Roman"/>
          <w:b w:val="false"/>
          <w:sz w:val="22"/>
          <w:szCs w:val="22"/>
        </w:rPr>
      </w:pPr>
      <w:r>
        <w:rPr>
          <w:rFonts w:cs="Times New Roman" w:ascii="Times New Roman" w:hAnsi="Times New Roman"/>
          <w:b w:val="false"/>
          <w:sz w:val="22"/>
          <w:szCs w:val="22"/>
        </w:rPr>
        <w:t>и подведению итогов закупки</w:t>
      </w:r>
    </w:p>
    <w:p>
      <w:pPr>
        <w:pStyle w:val="Normal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г. Казань, ул. Достоевского, д. 18/75                                                            «03» марта 2025 г., 08 час. 30 мин.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Присутствуют: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3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76"/>
        <w:gridCol w:w="7938"/>
      </w:tblGrid>
      <w:tr>
        <w:trPr>
          <w:trHeight w:val="1381" w:hRule="atLeast"/>
        </w:trPr>
        <w:tc>
          <w:tcPr>
            <w:tcW w:w="2376" w:type="dxa"/>
            <w:tcBorders/>
          </w:tcPr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Шулепова М.В.</w:t>
            </w:r>
          </w:p>
          <w:p>
            <w:pPr>
              <w:pStyle w:val="Normal"/>
              <w:spacing w:lineRule="auto" w:line="360"/>
              <w:rPr/>
            </w:pPr>
            <w:r>
              <w:rPr>
                <w:sz w:val="22"/>
                <w:szCs w:val="22"/>
              </w:rPr>
              <w:t>Ушанов В.А.</w:t>
            </w:r>
          </w:p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Сафиуллина Д.Т.</w:t>
            </w:r>
          </w:p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Байбурина Ж.Ф.</w:t>
            </w:r>
          </w:p>
        </w:tc>
        <w:tc>
          <w:tcPr>
            <w:tcW w:w="7938" w:type="dxa"/>
            <w:tcBorders/>
          </w:tcPr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2"/>
                <w:szCs w:val="22"/>
              </w:rPr>
              <w:t>член Конкурсной комиссии АО «Татавтодор»,</w:t>
            </w:r>
          </w:p>
          <w:p>
            <w:pPr>
              <w:pStyle w:val="Normal"/>
              <w:spacing w:lineRule="auto" w:line="3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Конкурсной комиссии АО «Татавтодор»,</w:t>
            </w:r>
          </w:p>
          <w:p>
            <w:pPr>
              <w:pStyle w:val="Normal"/>
              <w:spacing w:lineRule="auto" w:line="3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Конкурсной комиссии АО «Татавтодор»,</w:t>
            </w:r>
          </w:p>
          <w:p>
            <w:pPr>
              <w:pStyle w:val="Normal"/>
              <w:spacing w:lineRule="auto" w:line="3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секретарь Конкурсной комиссии АО «Татавтодор» (без права голоса)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08"/>
          <w:tab w:val="left" w:pos="284" w:leader="none"/>
        </w:tabs>
        <w:ind w:hanging="2204" w:start="2204" w:end="0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закупке.</w:t>
      </w:r>
    </w:p>
    <w:p>
      <w:pPr>
        <w:pStyle w:val="Normal"/>
        <w:numPr>
          <w:ilvl w:val="1"/>
          <w:numId w:val="3"/>
        </w:numPr>
        <w:tabs>
          <w:tab w:val="clear" w:pos="708"/>
          <w:tab w:val="left" w:pos="284" w:leader="none"/>
        </w:tabs>
        <w:ind w:hanging="426" w:start="426" w:end="0"/>
        <w:jc w:val="both"/>
        <w:rPr>
          <w:sz w:val="22"/>
          <w:szCs w:val="22"/>
        </w:rPr>
      </w:pPr>
      <w:r>
        <w:rPr>
          <w:sz w:val="22"/>
          <w:szCs w:val="22"/>
        </w:rPr>
        <w:t>Заказчик: Акционерное общество «Татавтодор».</w:t>
      </w:r>
    </w:p>
    <w:p>
      <w:pPr>
        <w:pStyle w:val="Normal"/>
        <w:numPr>
          <w:ilvl w:val="1"/>
          <w:numId w:val="3"/>
        </w:numPr>
        <w:tabs>
          <w:tab w:val="clear" w:pos="708"/>
          <w:tab w:val="left" w:pos="284" w:leader="none"/>
          <w:tab w:val="left" w:pos="426" w:leader="none"/>
        </w:tabs>
        <w:ind w:hanging="0" w:start="0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Способ закупки: конкурс в электронной форме № </w:t>
      </w:r>
      <w:r>
        <w:rPr>
          <w:iCs/>
          <w:sz w:val="22"/>
          <w:szCs w:val="22"/>
        </w:rPr>
        <w:t>32514507547 (далее также «закупка», «конкурс»)</w:t>
      </w:r>
      <w:r>
        <w:rPr>
          <w:sz w:val="22"/>
          <w:szCs w:val="22"/>
        </w:rPr>
        <w:t>.</w:t>
      </w:r>
    </w:p>
    <w:p>
      <w:pPr>
        <w:pStyle w:val="Normal"/>
        <w:numPr>
          <w:ilvl w:val="1"/>
          <w:numId w:val="3"/>
        </w:numPr>
        <w:shd w:fill="FFFFFF" w:val="clear"/>
        <w:tabs>
          <w:tab w:val="clear" w:pos="708"/>
          <w:tab w:val="left" w:pos="442" w:leader="none"/>
        </w:tabs>
        <w:ind w:hanging="0" w:start="0" w:end="0"/>
        <w:jc w:val="both"/>
        <w:rPr>
          <w:bCs/>
          <w:sz w:val="22"/>
          <w:szCs w:val="22"/>
        </w:rPr>
      </w:pPr>
      <w:r>
        <w:rPr>
          <w:sz w:val="22"/>
          <w:szCs w:val="22"/>
        </w:rPr>
        <w:t>Предмет закупки: п</w:t>
      </w:r>
      <w:r>
        <w:rPr>
          <w:bCs/>
          <w:iCs/>
          <w:sz w:val="22"/>
          <w:szCs w:val="22"/>
        </w:rPr>
        <w:t>оставка мяса и мясной продукции в соответствии с техническим заданием</w:t>
      </w:r>
      <w:r>
        <w:rPr>
          <w:bCs/>
          <w:sz w:val="22"/>
          <w:szCs w:val="22"/>
        </w:rPr>
        <w:t xml:space="preserve"> (далее – Товар).</w:t>
      </w:r>
    </w:p>
    <w:p>
      <w:pPr>
        <w:pStyle w:val="Style22"/>
        <w:numPr>
          <w:ilvl w:val="1"/>
          <w:numId w:val="3"/>
        </w:numPr>
        <w:ind w:hanging="426" w:start="426" w:end="0"/>
        <w:rPr>
          <w:b/>
          <w:sz w:val="22"/>
          <w:szCs w:val="22"/>
        </w:rPr>
      </w:pPr>
      <w:r>
        <w:rPr>
          <w:sz w:val="22"/>
          <w:szCs w:val="22"/>
        </w:rPr>
        <w:t>Сведения о начальной (максимальной) цене договора:</w:t>
      </w:r>
      <w:r>
        <w:rPr>
          <w:b/>
          <w:sz w:val="22"/>
          <w:szCs w:val="22"/>
        </w:rPr>
        <w:t xml:space="preserve"> </w:t>
      </w:r>
    </w:p>
    <w:p>
      <w:pPr>
        <w:pStyle w:val="Normal"/>
        <w:shd w:fill="FFFFFF" w:val="clear"/>
        <w:tabs>
          <w:tab w:val="clear" w:pos="708"/>
          <w:tab w:val="left" w:pos="442" w:leader="none"/>
        </w:tabs>
        <w:jc w:val="both"/>
        <w:rPr>
          <w:rFonts w:eastAsia="Lucida Sans Unicode"/>
          <w:bCs/>
          <w:kern w:val="2"/>
          <w:sz w:val="22"/>
          <w:szCs w:val="22"/>
        </w:rPr>
      </w:pPr>
      <w:r>
        <w:rPr>
          <w:rFonts w:eastAsia="Lucida Sans Unicode"/>
          <w:bCs/>
          <w:kern w:val="2"/>
          <w:sz w:val="22"/>
          <w:szCs w:val="22"/>
        </w:rPr>
        <w:t>Максимальное значение цены договора: 25 000 000,00 рублей с учетом всех налогов и сборов.</w:t>
      </w:r>
    </w:p>
    <w:p>
      <w:pPr>
        <w:pStyle w:val="Normal"/>
        <w:shd w:fill="FFFFFF" w:val="clear"/>
        <w:tabs>
          <w:tab w:val="clear" w:pos="708"/>
          <w:tab w:val="left" w:pos="442" w:leader="none"/>
        </w:tabs>
        <w:jc w:val="both"/>
        <w:rPr>
          <w:rFonts w:eastAsia="Lucida Sans Unicode"/>
          <w:bCs/>
          <w:kern w:val="2"/>
          <w:sz w:val="22"/>
          <w:szCs w:val="22"/>
        </w:rPr>
      </w:pPr>
      <w:r>
        <w:rPr>
          <w:rFonts w:eastAsia="Lucida Sans Unicode"/>
          <w:bCs/>
          <w:kern w:val="2"/>
          <w:sz w:val="22"/>
          <w:szCs w:val="22"/>
        </w:rPr>
        <w:t xml:space="preserve">Максимальная общая цена товаров: 1 323,33 рублей с учетом всех налогов и сборов. </w:t>
      </w:r>
    </w:p>
    <w:p>
      <w:pPr>
        <w:pStyle w:val="Normal"/>
        <w:shd w:fill="FFFFFF" w:val="clear"/>
        <w:tabs>
          <w:tab w:val="clear" w:pos="708"/>
          <w:tab w:val="left" w:pos="442" w:leader="none"/>
        </w:tabs>
        <w:jc w:val="both"/>
        <w:rPr/>
      </w:pPr>
      <w:r>
        <w:rPr>
          <w:rFonts w:eastAsia="Lucida Sans Unicode"/>
          <w:bCs/>
          <w:kern w:val="2"/>
          <w:sz w:val="22"/>
          <w:szCs w:val="22"/>
        </w:rPr>
        <w:t>Начальная (максимальная) цена за единицу Товара указана в п. 1.7 Документации о закупке.</w:t>
      </w:r>
    </w:p>
    <w:p>
      <w:pPr>
        <w:pStyle w:val="Normal"/>
        <w:shd w:fill="FFFFFF" w:val="clear"/>
        <w:tabs>
          <w:tab w:val="clear" w:pos="708"/>
          <w:tab w:val="left" w:pos="442" w:leader="none"/>
        </w:tabs>
        <w:jc w:val="both"/>
        <w:rPr>
          <w:rFonts w:eastAsia="Lucida Sans Unicode"/>
          <w:bCs/>
          <w:kern w:val="2"/>
          <w:sz w:val="22"/>
          <w:szCs w:val="22"/>
        </w:rPr>
      </w:pPr>
      <w:r>
        <w:rPr>
          <w:rFonts w:eastAsia="Lucida Sans Unicode"/>
          <w:bCs/>
          <w:kern w:val="2"/>
          <w:sz w:val="22"/>
          <w:szCs w:val="22"/>
        </w:rPr>
        <w:t>Начальная (максимальная) цена договора включает в себя стоимость Товара, стоимость доставки товара на склад Заказчика, расходы на упаковку, маркировку, налоги, сборы и другие обязательные платежи.</w:t>
      </w:r>
    </w:p>
    <w:p>
      <w:pPr>
        <w:pStyle w:val="Normal"/>
        <w:shd w:fill="FFFFFF" w:val="clear"/>
        <w:tabs>
          <w:tab w:val="clear" w:pos="708"/>
          <w:tab w:val="left" w:pos="442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1.5. Срок исполнения договора: </w:t>
      </w:r>
    </w:p>
    <w:p>
      <w:pPr>
        <w:pStyle w:val="Normal"/>
        <w:widowControl w:val="false"/>
        <w:tabs>
          <w:tab w:val="clear" w:pos="708"/>
          <w:tab w:val="left" w:pos="0" w:leader="none"/>
        </w:tabs>
        <w:autoSpaceDE w:val="false"/>
        <w:jc w:val="both"/>
        <w:rPr/>
      </w:pPr>
      <w:r>
        <w:rPr>
          <w:bCs/>
          <w:iCs/>
          <w:sz w:val="21"/>
          <w:szCs w:val="21"/>
        </w:rPr>
        <w:t xml:space="preserve">1.5.1. Срок поставки товара: поставка Товара осуществляется </w:t>
      </w:r>
      <w:r>
        <w:rPr>
          <w:bCs/>
          <w:iCs/>
          <w:sz w:val="21"/>
          <w:szCs w:val="21"/>
          <w:lang w:val="en-US"/>
        </w:rPr>
        <w:t>отдельными партиями</w:t>
      </w:r>
      <w:r>
        <w:rPr>
          <w:bCs/>
          <w:iCs/>
          <w:sz w:val="21"/>
          <w:szCs w:val="21"/>
        </w:rPr>
        <w:t xml:space="preserve"> в структурные подразделения, указанные в заявке, в течение 3</w:t>
      </w:r>
      <w:r>
        <w:rPr>
          <w:bCs/>
          <w:iCs/>
          <w:sz w:val="21"/>
          <w:szCs w:val="21"/>
          <w:lang w:val="en-US"/>
        </w:rPr>
        <w:t xml:space="preserve"> календарны</w:t>
      </w:r>
      <w:r>
        <w:rPr>
          <w:bCs/>
          <w:iCs/>
          <w:sz w:val="21"/>
          <w:szCs w:val="21"/>
        </w:rPr>
        <w:t>х</w:t>
      </w:r>
      <w:r>
        <w:rPr>
          <w:bCs/>
          <w:iCs/>
          <w:sz w:val="21"/>
          <w:szCs w:val="21"/>
          <w:lang w:val="en-US"/>
        </w:rPr>
        <w:t xml:space="preserve"> </w:t>
      </w:r>
      <w:r>
        <w:rPr>
          <w:bCs/>
          <w:iCs/>
          <w:sz w:val="21"/>
          <w:szCs w:val="21"/>
        </w:rPr>
        <w:t>дней</w:t>
      </w:r>
      <w:r>
        <w:rPr>
          <w:bCs/>
          <w:iCs/>
          <w:sz w:val="21"/>
          <w:szCs w:val="21"/>
          <w:lang w:val="en-US"/>
        </w:rPr>
        <w:t xml:space="preserve"> со </w:t>
      </w:r>
      <w:r>
        <w:rPr>
          <w:bCs/>
          <w:iCs/>
          <w:sz w:val="21"/>
          <w:szCs w:val="21"/>
        </w:rPr>
        <w:t>дня подачи заявки Заказчиком</w:t>
      </w:r>
      <w:r>
        <w:rPr>
          <w:bCs/>
          <w:iCs/>
          <w:sz w:val="21"/>
          <w:szCs w:val="21"/>
          <w:lang w:val="en-US"/>
        </w:rPr>
        <w:t xml:space="preserve">. </w:t>
      </w:r>
      <w:r>
        <w:rPr>
          <w:bCs/>
          <w:iCs/>
          <w:sz w:val="21"/>
          <w:szCs w:val="21"/>
        </w:rPr>
        <w:t xml:space="preserve">Поставка товара осуществляется Поставщиком в соответствии с заявкой с 07-00 до 13-00 по московскому времени. В местах, указанных Заказчиком, разгрузка осуществляется представителями Поставщика. </w:t>
      </w:r>
    </w:p>
    <w:p>
      <w:pPr>
        <w:pStyle w:val="Normal"/>
        <w:widowControl w:val="false"/>
        <w:tabs>
          <w:tab w:val="clear" w:pos="708"/>
          <w:tab w:val="left" w:pos="0" w:leader="none"/>
        </w:tabs>
        <w:autoSpaceDE w:val="false"/>
        <w:jc w:val="both"/>
        <w:rPr>
          <w:bCs/>
          <w:iCs/>
          <w:sz w:val="21"/>
          <w:szCs w:val="21"/>
        </w:rPr>
      </w:pPr>
      <w:r>
        <w:rPr>
          <w:bCs/>
          <w:iCs/>
          <w:sz w:val="21"/>
          <w:szCs w:val="21"/>
        </w:rPr>
        <w:t xml:space="preserve">1.5.2. Срок действия договора: по 31 июля 2027 года, а в части взаиморасчетов – до полного исполнения сторонами своих обязательств. </w:t>
      </w:r>
    </w:p>
    <w:p>
      <w:pPr>
        <w:pStyle w:val="Normal"/>
        <w:widowControl w:val="false"/>
        <w:tabs>
          <w:tab w:val="clear" w:pos="708"/>
          <w:tab w:val="left" w:pos="0" w:leader="none"/>
        </w:tabs>
        <w:autoSpaceDE w:val="false"/>
        <w:jc w:val="both"/>
        <w:rPr/>
      </w:pPr>
      <w:r>
        <w:rPr>
          <w:rFonts w:eastAsia="Calibri"/>
          <w:sz w:val="22"/>
          <w:szCs w:val="22"/>
        </w:rPr>
        <w:t>1.6. Количество поставляемых товаров:</w:t>
      </w:r>
      <w:r>
        <w:rPr>
          <w:rFonts w:eastAsia="Calibri"/>
          <w:b/>
          <w:sz w:val="22"/>
          <w:szCs w:val="22"/>
        </w:rPr>
        <w:t xml:space="preserve"> </w:t>
      </w:r>
      <w:r>
        <w:rPr>
          <w:rFonts w:eastAsia="Calibri"/>
          <w:bCs/>
          <w:sz w:val="22"/>
          <w:szCs w:val="22"/>
        </w:rPr>
        <w:t>определяется по заявкам Заказчика в пределах общей стоимости и срока действия договора.</w:t>
      </w:r>
    </w:p>
    <w:p>
      <w:pPr>
        <w:pStyle w:val="Normal"/>
        <w:widowControl w:val="false"/>
        <w:tabs>
          <w:tab w:val="clear" w:pos="708"/>
          <w:tab w:val="left" w:pos="1260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1.7. Закупка размещена на официальном сайте РФ http://www.zakupki.gov.ru/ и на сайте электронной площадки https://www.rts-tender.ru/.  </w:t>
      </w:r>
    </w:p>
    <w:p>
      <w:pPr>
        <w:pStyle w:val="Normal"/>
        <w:widowControl w:val="false"/>
        <w:tabs>
          <w:tab w:val="clear" w:pos="708"/>
          <w:tab w:val="left" w:pos="1260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>Процедура рассмотрения заявок на участие в закупке и подведения итогов закупки проводится 03 марта 2025 года в 08 часов 30 минут по адресу: 420012, г. Казань, ул. Достоевского, д. 18/75.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Рассмотрение заявок на участие в закупке. </w:t>
      </w:r>
    </w:p>
    <w:p>
      <w:pPr>
        <w:pStyle w:val="Normal"/>
        <w:ind w:firstLine="284" w:end="0"/>
        <w:jc w:val="both"/>
        <w:rPr/>
      </w:pPr>
      <w:r>
        <w:rPr>
          <w:rFonts w:eastAsia="Arial Unicode MS"/>
          <w:sz w:val="22"/>
          <w:szCs w:val="22"/>
        </w:rPr>
        <w:t xml:space="preserve">До окончания срока подачи заявок на участие в закупке была подана 1 (одна) заявка на участие в закупке. Выписка из журнала регистрации заявок: </w:t>
      </w:r>
    </w:p>
    <w:p>
      <w:pPr>
        <w:pStyle w:val="Normal"/>
        <w:ind w:firstLine="284" w:end="0"/>
        <w:jc w:val="both"/>
        <w:rPr>
          <w:rFonts w:eastAsia="Arial Unicode MS"/>
          <w:sz w:val="22"/>
          <w:szCs w:val="22"/>
        </w:rPr>
      </w:pPr>
      <w:r>
        <w:rPr>
          <w:rFonts w:eastAsia="Arial Unicode MS"/>
          <w:sz w:val="22"/>
          <w:szCs w:val="22"/>
        </w:rPr>
      </w:r>
    </w:p>
    <w:tbl>
      <w:tblPr>
        <w:tblW w:w="10236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0" w:type="dxa"/>
        </w:tblCellMar>
      </w:tblPr>
      <w:tblGrid>
        <w:gridCol w:w="881"/>
        <w:gridCol w:w="2835"/>
        <w:gridCol w:w="3260"/>
        <w:gridCol w:w="3260"/>
      </w:tblGrid>
      <w:tr>
        <w:trPr>
          <w:trHeight w:val="405" w:hRule="atLeast"/>
        </w:trPr>
        <w:tc>
          <w:tcPr>
            <w:tcW w:w="8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 </w:t>
            </w:r>
            <w:r>
              <w:rPr>
                <w:sz w:val="22"/>
                <w:szCs w:val="22"/>
              </w:rPr>
              <w:t>п/п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 поступления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Время поступления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Регистрационный номер</w:t>
            </w:r>
          </w:p>
        </w:tc>
      </w:tr>
      <w:tr>
        <w:trPr>
          <w:trHeight w:val="405" w:hRule="atLeast"/>
        </w:trPr>
        <w:tc>
          <w:tcPr>
            <w:tcW w:w="8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28.02.2025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14:44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</w:tbl>
    <w:p>
      <w:pPr>
        <w:pStyle w:val="Normal"/>
        <w:ind w:firstLine="284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284" w:end="0"/>
        <w:jc w:val="both"/>
        <w:rPr>
          <w:sz w:val="22"/>
          <w:szCs w:val="22"/>
        </w:rPr>
      </w:pPr>
      <w:r>
        <w:rPr>
          <w:sz w:val="22"/>
          <w:szCs w:val="22"/>
        </w:rPr>
        <w:t>2.1. Заявка № 1: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5528"/>
      </w:tblGrid>
      <w:tr>
        <w:trPr/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3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Регистрационный номер</w:t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3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Принадлежность к субъектам малого и среднего предпринимательства</w:t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Является субъектом малого предпринимательства </w:t>
            </w:r>
          </w:p>
        </w:tc>
      </w:tr>
      <w:tr>
        <w:trPr>
          <w:trHeight w:val="533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Предложение о цене договора (общей цене товаров)</w:t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1 295,00 рублей</w:t>
            </w:r>
            <w:r>
              <w:rPr>
                <w:bCs/>
                <w:sz w:val="22"/>
                <w:szCs w:val="22"/>
              </w:rPr>
              <w:t>, с учетом всех налогов и сборов</w:t>
            </w:r>
          </w:p>
          <w:p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</w:tr>
      <w:tr>
        <w:trPr>
          <w:trHeight w:val="427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rPr>
                <w:sz w:val="22"/>
                <w:szCs w:val="22"/>
              </w:rPr>
            </w:pPr>
            <w:r>
              <w:rPr>
                <w:sz w:val="22"/>
              </w:rPr>
              <w:t>Квалификация участника закупки</w:t>
            </w:r>
            <w:r>
              <w:rPr>
                <w:bCs/>
                <w:sz w:val="22"/>
              </w:rPr>
              <w:t xml:space="preserve"> – </w:t>
            </w:r>
            <w:r>
              <w:rPr>
                <w:sz w:val="22"/>
              </w:rPr>
              <w:t>наличие у участника закупки возможности поставки мяса и мясной продукции, имеющих маркировку (знак соответствия и т.п.)</w:t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Имеется</w:t>
            </w:r>
          </w:p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uppressAutoHyphens w:val="true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uppressAutoHyphens w:val="true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  <w:t>По Заявке № 1 несоответствий требованиям документации о закупке не выявлено.</w:t>
      </w:r>
    </w:p>
    <w:p>
      <w:pPr>
        <w:pStyle w:val="Normal"/>
        <w:suppressAutoHyphens w:val="true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5528"/>
      </w:tblGrid>
      <w:tr>
        <w:trPr/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Член комиссии</w:t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Решение члена комиссии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Шулепова М.В.</w:t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соответствует, допустить к участию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Ушанов В.А.</w:t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соответствует, допустить к участию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Сафиуллина Д.Т.</w:t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соответствует, допустить к участию </w:t>
            </w:r>
          </w:p>
        </w:tc>
      </w:tr>
    </w:tbl>
    <w:p>
      <w:pPr>
        <w:pStyle w:val="Normal"/>
        <w:ind w:firstLine="284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uppressLineNumbers/>
        <w:suppressAutoHyphens w:val="true"/>
        <w:jc w:val="both"/>
        <w:rPr/>
      </w:pPr>
      <w:r>
        <w:rPr>
          <w:bCs/>
          <w:sz w:val="22"/>
          <w:szCs w:val="22"/>
        </w:rPr>
        <w:t>3. По итогам рассмотрения заявок на участие в закупке конкурсная комиссия решила:</w:t>
      </w:r>
    </w:p>
    <w:p>
      <w:pPr>
        <w:pStyle w:val="Normal"/>
        <w:suppressLineNumbers/>
        <w:suppressAutoHyphens w:val="true"/>
        <w:jc w:val="both"/>
        <w:rPr/>
      </w:pPr>
      <w:r>
        <w:rPr>
          <w:bCs/>
          <w:sz w:val="22"/>
          <w:szCs w:val="22"/>
        </w:rPr>
        <w:t>3.1. признать заявку № 1 соответствующей требованиям документации о закупке и допустить к участию в закупке.</w:t>
      </w:r>
    </w:p>
    <w:p>
      <w:pPr>
        <w:pStyle w:val="Normal"/>
        <w:suppressLineNumbers/>
        <w:suppressAutoHyphens w:val="true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suppressLineNumbers/>
        <w:suppressAutoHyphens w:val="true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Количество поданных заявок – 1 заявка</w:t>
      </w:r>
    </w:p>
    <w:p>
      <w:pPr>
        <w:pStyle w:val="Normal"/>
        <w:suppressLineNumbers/>
        <w:suppressAutoHyphens w:val="true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Количество допущенных заявок – 1 заявка</w:t>
      </w:r>
    </w:p>
    <w:p>
      <w:pPr>
        <w:pStyle w:val="Normal"/>
        <w:suppressLineNumbers/>
        <w:suppressAutoHyphens w:val="true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Количество отклоненных заявок – 0</w:t>
      </w:r>
    </w:p>
    <w:p>
      <w:pPr>
        <w:pStyle w:val="Normal"/>
        <w:suppressLineNumbers/>
        <w:suppressAutoHyphens w:val="true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uppressAutoHyphens w:val="true"/>
        <w:jc w:val="both"/>
        <w:rPr/>
      </w:pPr>
      <w:r>
        <w:rPr>
          <w:bCs/>
          <w:sz w:val="21"/>
          <w:szCs w:val="21"/>
        </w:rPr>
        <w:t>3.2. Н</w:t>
      </w:r>
      <w:r>
        <w:rPr>
          <w:sz w:val="21"/>
          <w:szCs w:val="21"/>
        </w:rPr>
        <w:t>а основании пункта 10.3.5 «Положения о закупке товаров, работ, услуг АО «Татавтодор» (далее –</w:t>
      </w:r>
      <w:r>
        <w:rPr>
          <w:sz w:val="22"/>
          <w:szCs w:val="22"/>
        </w:rPr>
        <w:t xml:space="preserve"> </w:t>
      </w:r>
      <w:r>
        <w:rPr>
          <w:sz w:val="21"/>
          <w:szCs w:val="21"/>
        </w:rPr>
        <w:t xml:space="preserve">Положение), пункта 2.1.4 документации о закупке </w:t>
      </w:r>
      <w:r>
        <w:rPr>
          <w:bCs/>
          <w:sz w:val="21"/>
          <w:szCs w:val="21"/>
        </w:rPr>
        <w:t>признать настоящий конкурс несостоявшимся</w:t>
      </w:r>
      <w:r>
        <w:rPr>
          <w:sz w:val="21"/>
          <w:szCs w:val="21"/>
        </w:rPr>
        <w:t xml:space="preserve"> в связи с тем, что на участие в закупке подана только одна заявка.</w:t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uppressAutoHyphens w:val="true"/>
        <w:jc w:val="both"/>
        <w:rPr/>
      </w:pPr>
      <w:r>
        <w:rPr>
          <w:bCs/>
          <w:sz w:val="21"/>
          <w:szCs w:val="21"/>
        </w:rPr>
        <w:t xml:space="preserve">3.3. </w:t>
      </w:r>
      <w:r>
        <w:rPr>
          <w:sz w:val="21"/>
          <w:szCs w:val="21"/>
        </w:rPr>
        <w:t xml:space="preserve">На основании пункта 10.3.6 Положения, пункта 2.1.4. документации о закупке заключить </w:t>
      </w:r>
      <w:r>
        <w:rPr>
          <w:bCs/>
          <w:sz w:val="21"/>
          <w:szCs w:val="21"/>
        </w:rPr>
        <w:t xml:space="preserve">договор на поставку </w:t>
      </w:r>
      <w:r>
        <w:rPr>
          <w:bCs/>
          <w:iCs/>
          <w:sz w:val="21"/>
          <w:szCs w:val="21"/>
        </w:rPr>
        <w:t>мяса и мясной продукции в соответствии с техническим заданием с участником закупки</w:t>
      </w:r>
      <w:r>
        <w:rPr>
          <w:bCs/>
          <w:sz w:val="21"/>
          <w:szCs w:val="21"/>
        </w:rPr>
        <w:t>, подавшим Заявку № 1,</w:t>
      </w:r>
      <w:r>
        <w:rPr>
          <w:sz w:val="21"/>
          <w:szCs w:val="21"/>
        </w:rPr>
        <w:t xml:space="preserve"> на сумму 25 000 000,00</w:t>
      </w:r>
      <w:r>
        <w:rPr>
          <w:bCs/>
          <w:sz w:val="21"/>
          <w:szCs w:val="21"/>
        </w:rPr>
        <w:t xml:space="preserve"> рублей с учетом НДС</w:t>
      </w:r>
      <w:r>
        <w:rPr>
          <w:sz w:val="21"/>
          <w:szCs w:val="21"/>
        </w:rPr>
        <w:t xml:space="preserve">, и ценой за единицу товара, предложенной участником закупки, </w:t>
      </w:r>
      <w:r>
        <w:rPr>
          <w:spacing w:val="-3"/>
          <w:sz w:val="21"/>
          <w:szCs w:val="21"/>
        </w:rPr>
        <w:t xml:space="preserve">на условиях, предусмотренных заявкой на участие в закупке и документацией о закупке. </w:t>
      </w:r>
    </w:p>
    <w:p>
      <w:pPr>
        <w:pStyle w:val="Normal"/>
        <w:suppressLineNumbers/>
        <w:suppressAutoHyphens w:val="true"/>
        <w:jc w:val="both"/>
        <w:rPr>
          <w:bCs/>
          <w:spacing w:val="-3"/>
          <w:sz w:val="21"/>
          <w:szCs w:val="21"/>
        </w:rPr>
      </w:pPr>
      <w:r>
        <w:rPr>
          <w:bCs/>
          <w:spacing w:val="-3"/>
          <w:sz w:val="21"/>
          <w:szCs w:val="21"/>
        </w:rPr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7371"/>
      </w:tblGrid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Cs/>
                <w:spacing w:val="-3"/>
                <w:sz w:val="21"/>
                <w:szCs w:val="21"/>
              </w:rPr>
            </w:pPr>
            <w:r>
              <w:rPr>
                <w:bCs/>
                <w:spacing w:val="-3"/>
                <w:sz w:val="21"/>
                <w:szCs w:val="21"/>
              </w:rPr>
              <w:t>Член комиссии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Cs/>
                <w:spacing w:val="-3"/>
                <w:sz w:val="21"/>
                <w:szCs w:val="21"/>
              </w:rPr>
            </w:pPr>
            <w:r>
              <w:rPr>
                <w:bCs/>
                <w:spacing w:val="-3"/>
                <w:sz w:val="21"/>
                <w:szCs w:val="21"/>
              </w:rPr>
              <w:t>Решение члена комиссии</w:t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Шулепова М.В.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Cs/>
                <w:spacing w:val="-3"/>
                <w:sz w:val="21"/>
                <w:szCs w:val="21"/>
              </w:rPr>
            </w:pPr>
            <w:r>
              <w:rPr>
                <w:bCs/>
                <w:spacing w:val="-3"/>
                <w:sz w:val="21"/>
                <w:szCs w:val="21"/>
              </w:rPr>
              <w:t>Заключить договор</w:t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Ушанов В.А.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Cs/>
                <w:spacing w:val="-3"/>
                <w:sz w:val="21"/>
                <w:szCs w:val="21"/>
              </w:rPr>
            </w:pPr>
            <w:r>
              <w:rPr>
                <w:bCs/>
                <w:spacing w:val="-3"/>
                <w:sz w:val="21"/>
                <w:szCs w:val="21"/>
              </w:rPr>
              <w:t>Заключить договор</w:t>
            </w:r>
          </w:p>
        </w:tc>
      </w:tr>
      <w:tr>
        <w:trPr>
          <w:trHeight w:val="337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Сафиуллина Д.Т.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Cs/>
                <w:spacing w:val="-3"/>
                <w:sz w:val="21"/>
                <w:szCs w:val="21"/>
              </w:rPr>
            </w:pPr>
            <w:r>
              <w:rPr>
                <w:bCs/>
                <w:spacing w:val="-3"/>
                <w:sz w:val="21"/>
                <w:szCs w:val="21"/>
              </w:rPr>
              <w:t>Заключить договор</w:t>
            </w:r>
          </w:p>
        </w:tc>
      </w:tr>
    </w:tbl>
    <w:p>
      <w:pPr>
        <w:pStyle w:val="Normal"/>
        <w:jc w:val="both"/>
        <w:rPr>
          <w:spacing w:val="-3"/>
          <w:sz w:val="22"/>
          <w:szCs w:val="22"/>
        </w:rPr>
      </w:pPr>
      <w:r>
        <w:rPr>
          <w:spacing w:val="-3"/>
          <w:sz w:val="22"/>
          <w:szCs w:val="22"/>
        </w:rPr>
      </w:r>
    </w:p>
    <w:tbl>
      <w:tblPr>
        <w:tblW w:w="31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27"/>
      </w:tblGrid>
      <w:tr>
        <w:trPr>
          <w:trHeight w:val="237" w:hRule="atLeast"/>
        </w:trPr>
        <w:tc>
          <w:tcPr>
            <w:tcW w:w="6327" w:type="dxa"/>
            <w:tcBorders/>
            <w:vAlign w:val="center"/>
          </w:tcPr>
          <w:p>
            <w:pPr>
              <w:pStyle w:val="Header"/>
              <w:tabs>
                <w:tab w:val="clear" w:pos="4153"/>
                <w:tab w:val="clear" w:pos="8306"/>
              </w:tabs>
              <w:ind w:hanging="180" w:start="180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Подписи: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ind w:hanging="180" w:start="180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ind w:hanging="180" w:start="180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tbl>
            <w:tblPr>
              <w:tblW w:w="5376" w:type="dxa"/>
              <w:jc w:val="start"/>
              <w:tblInd w:w="421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825"/>
              <w:gridCol w:w="2551"/>
            </w:tblGrid>
            <w:tr>
              <w:trPr>
                <w:trHeight w:val="563" w:hRule="atLeast"/>
              </w:trPr>
              <w:tc>
                <w:tcPr>
                  <w:tcW w:w="2825" w:type="dxa"/>
                  <w:tcBorders/>
                </w:tcPr>
                <w:p>
                  <w:pPr>
                    <w:pStyle w:val="Normal"/>
                    <w:spacing w:lineRule="auto" w:line="2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Шулепова М.В.</w:t>
                  </w:r>
                </w:p>
                <w:p>
                  <w:pPr>
                    <w:pStyle w:val="Normal"/>
                    <w:spacing w:lineRule="auto" w:line="2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tcW w:w="2551" w:type="dxa"/>
                  <w:tcBorders/>
                </w:tcPr>
                <w:p>
                  <w:pPr>
                    <w:pStyle w:val="Normal"/>
                    <w:spacing w:lineRule="auto" w:line="2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____________________</w:t>
                  </w:r>
                </w:p>
              </w:tc>
            </w:tr>
            <w:tr>
              <w:trPr>
                <w:trHeight w:val="563" w:hRule="atLeast"/>
              </w:trPr>
              <w:tc>
                <w:tcPr>
                  <w:tcW w:w="2825" w:type="dxa"/>
                  <w:tcBorders/>
                </w:tcPr>
                <w:p>
                  <w:pPr>
                    <w:pStyle w:val="Normal"/>
                    <w:spacing w:lineRule="auto" w:line="2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Ушанов В.А.</w:t>
                  </w:r>
                </w:p>
              </w:tc>
              <w:tc>
                <w:tcPr>
                  <w:tcW w:w="2551" w:type="dxa"/>
                  <w:tcBorders/>
                </w:tcPr>
                <w:p>
                  <w:pPr>
                    <w:pStyle w:val="Normal"/>
                    <w:spacing w:lineRule="auto" w:line="2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____________________</w:t>
                  </w:r>
                </w:p>
              </w:tc>
            </w:tr>
            <w:tr>
              <w:trPr>
                <w:trHeight w:val="563" w:hRule="atLeast"/>
              </w:trPr>
              <w:tc>
                <w:tcPr>
                  <w:tcW w:w="2825" w:type="dxa"/>
                  <w:tcBorders/>
                </w:tcPr>
                <w:p>
                  <w:pPr>
                    <w:pStyle w:val="Normal"/>
                    <w:spacing w:lineRule="auto" w:line="2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Сафиуллина Д.Т.</w:t>
                  </w:r>
                </w:p>
              </w:tc>
              <w:tc>
                <w:tcPr>
                  <w:tcW w:w="2551" w:type="dxa"/>
                  <w:tcBorders/>
                </w:tcPr>
                <w:p>
                  <w:pPr>
                    <w:pStyle w:val="Normal"/>
                    <w:spacing w:lineRule="auto" w:line="2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____________________</w:t>
                  </w:r>
                </w:p>
              </w:tc>
            </w:tr>
            <w:tr>
              <w:trPr>
                <w:trHeight w:val="325" w:hRule="atLeast"/>
              </w:trPr>
              <w:tc>
                <w:tcPr>
                  <w:tcW w:w="2825" w:type="dxa"/>
                  <w:tcBorders/>
                </w:tcPr>
                <w:p>
                  <w:pPr>
                    <w:pStyle w:val="Normal"/>
                    <w:spacing w:lineRule="auto" w:line="2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Байбурина Ж.Ф.</w:t>
                  </w:r>
                </w:p>
              </w:tc>
              <w:tc>
                <w:tcPr>
                  <w:tcW w:w="2551" w:type="dxa"/>
                  <w:tcBorders/>
                </w:tcPr>
                <w:p>
                  <w:pPr>
                    <w:pStyle w:val="Normal"/>
                    <w:spacing w:lineRule="auto" w:line="2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____________________</w:t>
                  </w:r>
                </w:p>
              </w:tc>
            </w:tr>
          </w:tbl>
          <w:p>
            <w:pPr>
              <w:pStyle w:val="Header"/>
              <w:tabs>
                <w:tab w:val="clear" w:pos="4153"/>
                <w:tab w:val="clear" w:pos="8306"/>
              </w:tabs>
              <w:spacing w:lineRule="auto" w:line="27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pacing w:lineRule="auto" w:line="276"/>
              <w:jc w:val="both"/>
              <w:rPr/>
            </w:pPr>
            <w:r>
              <w:rPr>
                <w:sz w:val="22"/>
                <w:szCs w:val="22"/>
              </w:rPr>
              <w:t>Дата подписания протокола «____»______________2025 года</w:t>
            </w:r>
          </w:p>
        </w:tc>
      </w:tr>
    </w:tbl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0" w:leader="none"/>
          <w:tab w:val="left" w:pos="3868" w:leader="none"/>
          <w:tab w:val="left" w:pos="6300" w:leader="none"/>
        </w:tabs>
        <w:outlineLvl w:val="0"/>
        <w:rPr>
          <w:sz w:val="22"/>
          <w:szCs w:val="22"/>
        </w:rPr>
      </w:pPr>
      <w:r>
        <w:rPr>
          <w:sz w:val="22"/>
          <w:szCs w:val="22"/>
        </w:rPr>
      </w:r>
    </w:p>
    <w:sectPr>
      <w:headerReference w:type="default" r:id="rId2"/>
      <w:type w:val="nextPage"/>
      <w:pgSz w:w="11906" w:h="16838"/>
      <w:pgMar w:left="1134" w:right="567" w:gutter="0" w:header="4" w:top="709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6480175" cy="17526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0175" cy="17526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jc w:val="center"/>
                            <w:rPr>
                              <w:u w:val="single"/>
                            </w:rPr>
                          </w:pPr>
                          <w:r>
                            <w:rPr>
                              <w:u w:val="single"/>
                            </w:rPr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-0;width:510.2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<v:textbox inset="0in,0in,0in,0in">
                <w:txbxContent>
                  <w:p>
                    <w:pPr>
                      <w:pStyle w:val="Header"/>
                      <w:jc w:val="center"/>
                      <w:rPr>
                        <w:u w:val="single"/>
                      </w:rPr>
                    </w:pPr>
                    <w:r>
                      <w:rPr>
                        <w:u w:val="single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8"/>
        </w:tabs>
        <w:ind w:start="2204" w:hanging="360"/>
      </w:pPr>
      <w:rPr>
        <w:color w:val="000000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720" w:hanging="360"/>
      </w:pPr>
      <w:rPr>
        <w:b w:val="false"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2204" w:hanging="360"/>
      </w:pPr>
      <w:rPr>
        <w:color w:val="000000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720" w:hanging="360"/>
      </w:pPr>
      <w:rPr>
        <w:b w:val="false"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kern w:val="2"/>
      <w:sz w:val="28"/>
      <w:szCs w:val="20"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rFonts w:ascii="Times New Roman" w:hAnsi="Times New Roman" w:eastAsia="Times New Roman" w:cs="Times New Roma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>
      <w:b w:val="false"/>
      <w:i w:val="false"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>
      <w:color w:val="000000"/>
    </w:rPr>
  </w:style>
  <w:style w:type="character" w:styleId="WW8Num34z1">
    <w:name w:val="WW8Num34z1"/>
    <w:qFormat/>
    <w:rPr>
      <w:b w:val="false"/>
    </w:rPr>
  </w:style>
  <w:style w:type="character" w:styleId="WW8Num34z2">
    <w:name w:val="WW8Num34z2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rong">
    <w:name w:val="Strong"/>
    <w:qFormat/>
    <w:rPr>
      <w:b/>
      <w:bCs/>
    </w:rPr>
  </w:style>
  <w:style w:type="character" w:styleId="Style14">
    <w:name w:val="Основной текст с отступом Знак"/>
    <w:qFormat/>
    <w:rPr>
      <w:sz w:val="24"/>
      <w:szCs w:val="24"/>
    </w:rPr>
  </w:style>
  <w:style w:type="character" w:styleId="Style15">
    <w:name w:val="Верхний колонтитул Знак"/>
    <w:qFormat/>
    <w:rPr>
      <w:sz w:val="24"/>
    </w:rPr>
  </w:style>
  <w:style w:type="character" w:styleId="Style16">
    <w:name w:val="Основной текст Знак"/>
    <w:qFormat/>
    <w:rPr>
      <w:sz w:val="24"/>
    </w:rPr>
  </w:style>
  <w:style w:type="character" w:styleId="1">
    <w:name w:val="Заголовок 1 Знак"/>
    <w:qFormat/>
    <w:rPr>
      <w:rFonts w:ascii="Arial" w:hAnsi="Arial" w:cs="Arial"/>
      <w:b/>
      <w:kern w:val="2"/>
      <w:sz w:val="28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autoSpaceDE w:val="false"/>
      <w:jc w:val="both"/>
    </w:pPr>
    <w:rPr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</w:pPr>
    <w:rPr>
      <w:szCs w:val="20"/>
    </w:rPr>
  </w:style>
  <w:style w:type="paragraph" w:styleId="Style17">
    <w:name w:val=" Знак Знак Знак Знак Знак Знак"/>
    <w:basedOn w:val="Normal"/>
    <w:qFormat/>
    <w:pPr>
      <w:spacing w:lineRule="exact" w:line="240" w:before="0" w:after="160"/>
    </w:pPr>
    <w:rPr>
      <w:rFonts w:ascii="Tahoma" w:hAnsi="Tahoma" w:cs="Tahoma"/>
      <w:sz w:val="18"/>
      <w:szCs w:val="18"/>
      <w:lang w:val="en-US"/>
    </w:rPr>
  </w:style>
  <w:style w:type="paragraph" w:styleId="Style18">
    <w:name w:val="Таблица центр"/>
    <w:qFormat/>
    <w:pPr>
      <w:widowControl/>
      <w:bidi w:val="0"/>
      <w:jc w:val="center"/>
    </w:pPr>
    <w:rPr>
      <w:rFonts w:ascii="Times New Roman" w:hAnsi="Times New Roman" w:eastAsia="Times New Roman" w:cs="Times New Roman"/>
      <w:color w:val="auto"/>
      <w:sz w:val="20"/>
      <w:szCs w:val="24"/>
      <w:lang w:val="ru-RU" w:bidi="ar-SA" w:eastAsia="zh-CN"/>
    </w:rPr>
  </w:style>
  <w:style w:type="paragraph" w:styleId="11">
    <w:name w:val=" Знак Знак1 Знак"/>
    <w:basedOn w:val="Normal"/>
    <w:qFormat/>
    <w:pPr>
      <w:spacing w:lineRule="exact" w:line="240" w:before="0" w:after="160"/>
    </w:pPr>
    <w:rPr>
      <w:rFonts w:ascii="Tahoma" w:hAnsi="Tahoma" w:cs="Tahoma"/>
      <w:sz w:val="18"/>
      <w:szCs w:val="18"/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0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21">
    <w:name w:val=" Знак Знак Знак2 Знак Знак Знак1"/>
    <w:basedOn w:val="Normal"/>
    <w:qFormat/>
    <w:pPr>
      <w:spacing w:lineRule="exact" w:line="240" w:before="0" w:after="160"/>
    </w:pPr>
    <w:rPr>
      <w:rFonts w:ascii="Tahoma" w:hAnsi="Tahoma" w:cs="Tahoma"/>
      <w:sz w:val="18"/>
      <w:szCs w:val="18"/>
      <w:lang w:val="en-US"/>
    </w:rPr>
  </w:style>
  <w:style w:type="paragraph" w:styleId="2">
    <w:name w:val="Основной текст 2"/>
    <w:basedOn w:val="Normal"/>
    <w:qFormat/>
    <w:pPr>
      <w:spacing w:lineRule="auto" w:line="480" w:before="0" w:after="120"/>
    </w:pPr>
    <w:rPr/>
  </w:style>
  <w:style w:type="paragraph" w:styleId="Style21">
    <w:name w:val="Обычный (веб)"/>
    <w:basedOn w:val="Normal"/>
    <w:qFormat/>
    <w:pPr>
      <w:spacing w:before="280" w:after="280"/>
    </w:pPr>
    <w:rPr/>
  </w:style>
  <w:style w:type="paragraph" w:styleId="211617">
    <w:name w:val=" Знак Знак Знак2 Знак Знак Знак1 Знак Знак Знак16 Знак Знак Знак Знак Знак Знак1 Знак Знак Знак7"/>
    <w:basedOn w:val="Normal"/>
    <w:qFormat/>
    <w:pPr>
      <w:spacing w:lineRule="exact" w:line="240" w:before="0" w:after="160"/>
    </w:pPr>
    <w:rPr>
      <w:rFonts w:ascii="Tahoma" w:hAnsi="Tahoma" w:cs="Tahoma"/>
      <w:sz w:val="18"/>
      <w:szCs w:val="18"/>
      <w:lang w:val="en-US"/>
    </w:rPr>
  </w:style>
  <w:style w:type="paragraph" w:styleId="12">
    <w:name w:val="Стиль1"/>
    <w:basedOn w:val="Normal"/>
    <w:qFormat/>
    <w:pPr>
      <w:spacing w:lineRule="auto" w:line="288"/>
    </w:pPr>
    <w:rPr>
      <w:sz w:val="28"/>
      <w:szCs w:val="20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Style22">
    <w:name w:val="Содержимое таблицы"/>
    <w:basedOn w:val="Normal"/>
    <w:qFormat/>
    <w:pPr>
      <w:widowControl w:val="false"/>
      <w:suppressLineNumbers/>
      <w:suppressAutoHyphens w:val="true"/>
    </w:pPr>
    <w:rPr>
      <w:rFonts w:eastAsia="Lucida Sans Unicode"/>
      <w:kern w:val="2"/>
    </w:rPr>
  </w:style>
  <w:style w:type="paragraph" w:styleId="-6">
    <w:name w:val="Пункт-6"/>
    <w:basedOn w:val="Normal"/>
    <w:qFormat/>
    <w:pPr>
      <w:tabs>
        <w:tab w:val="clear" w:pos="708"/>
        <w:tab w:val="left" w:pos="2034" w:leader="none"/>
      </w:tabs>
      <w:spacing w:lineRule="auto" w:line="288"/>
      <w:ind w:firstLine="567" w:start="333" w:end="0"/>
      <w:jc w:val="both"/>
    </w:pPr>
    <w:rPr>
      <w:sz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2025-03-03T08:30:00Z</dcterms:created>
  <dc:creator>MikhaylovaNV</dc:creator>
  <dc:description/>
  <cp:keywords/>
  <dc:language>en-US</dc:language>
  <cp:lastModifiedBy>Байбурина Жанна Фуатовна</cp:lastModifiedBy>
  <cp:lastPrinted>2025-03-03T12:03:00Z</cp:lastPrinted>
  <dcterms:modified xsi:type="dcterms:W3CDTF">2025-03-03T09:04:00Z</dcterms:modified>
  <cp:revision>4</cp:revision>
  <dc:subject/>
  <dc:title>УТВЕРЖДАЮ</dc:title>
</cp:coreProperties>
</file>