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bookmarkStart w:id="0" w:name="_Hlk107234646"/>
      <w:bookmarkEnd w:id="0"/>
      <w:r>
        <w:rPr>
          <w:b/>
          <w:sz w:val="28"/>
          <w:szCs w:val="28"/>
        </w:rPr>
        <w:t>ПРОТОКОЛ №15/ЗКТЭ-ТЛЦ Белый Раст/25/2</w:t>
      </w:r>
    </w:p>
    <w:p>
      <w:pPr>
        <w:pStyle w:val="Normal"/>
        <w:jc w:val="center"/>
        <w:rPr>
          <w:bCs/>
          <w:iCs/>
          <w:sz w:val="28"/>
          <w:szCs w:val="28"/>
        </w:rPr>
      </w:pPr>
      <w:r>
        <w:rPr>
          <w:b/>
          <w:sz w:val="28"/>
          <w:szCs w:val="28"/>
        </w:rPr>
        <w:t xml:space="preserve">рассмотрения и оценки котировочных заявок </w:t>
      </w:r>
      <w:r>
        <w:rPr>
          <w:b/>
          <w:bCs/>
          <w:sz w:val="28"/>
          <w:szCs w:val="28"/>
        </w:rPr>
        <w:t xml:space="preserve">поступивших для участия в запросе котировок </w:t>
      </w:r>
      <w:r>
        <w:rPr>
          <w:b/>
          <w:sz w:val="28"/>
          <w:szCs w:val="28"/>
        </w:rPr>
        <w:t xml:space="preserve">в электронной форме </w:t>
      </w:r>
      <w:r>
        <w:rPr>
          <w:b/>
          <w:iCs/>
          <w:sz w:val="28"/>
          <w:szCs w:val="28"/>
        </w:rPr>
        <w:t>№15/ЗКТЭ-ТЛЦ Белый Раст/25</w:t>
      </w:r>
      <w:r>
        <w:rPr/>
        <w:t xml:space="preserve"> </w:t>
      </w:r>
      <w:r>
        <w:rPr>
          <w:b/>
          <w:iCs/>
          <w:sz w:val="28"/>
          <w:szCs w:val="28"/>
        </w:rPr>
        <w:t>на право оказания услуг по комплексной уборке территории</w:t>
      </w:r>
    </w:p>
    <w:p>
      <w:pPr>
        <w:pStyle w:val="Normal"/>
        <w:tabs>
          <w:tab w:val="clear" w:pos="708"/>
          <w:tab w:val="left" w:pos="6663" w:leader="none"/>
        </w:tabs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</w:r>
      <w:bookmarkStart w:id="1" w:name="_Hlk107234646"/>
      <w:bookmarkStart w:id="2" w:name="_Hlk107234646"/>
      <w:bookmarkEnd w:id="2"/>
    </w:p>
    <w:p>
      <w:pPr>
        <w:pStyle w:val="Normal"/>
        <w:tabs>
          <w:tab w:val="clear" w:pos="708"/>
          <w:tab w:val="left" w:pos="6663" w:leader="none"/>
        </w:tabs>
        <w:jc w:val="both"/>
        <w:rPr/>
      </w:pPr>
      <w:r>
        <w:rPr>
          <w:sz w:val="28"/>
          <w:szCs w:val="28"/>
        </w:rPr>
        <w:tab/>
        <w:t>«03» марта 2025 г.</w:t>
      </w:r>
    </w:p>
    <w:p>
      <w:pPr>
        <w:pStyle w:val="Normal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Состав экспертной группы:</w:t>
      </w:r>
    </w:p>
    <w:p>
      <w:pPr>
        <w:pStyle w:val="Normal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Председатель экспертной группы</w:t>
      </w:r>
    </w:p>
    <w:p>
      <w:pPr>
        <w:pStyle w:val="Normal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Заместитель председателя экспертной группы</w:t>
      </w:r>
    </w:p>
    <w:p>
      <w:pPr>
        <w:pStyle w:val="Normal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Члены экспертной группы</w:t>
      </w:r>
    </w:p>
    <w:p>
      <w:pPr>
        <w:pStyle w:val="Normal"/>
        <w:tabs>
          <w:tab w:val="clear" w:pos="708"/>
          <w:tab w:val="left" w:pos="6480" w:leader="none"/>
          <w:tab w:val="left" w:pos="7020" w:leader="none"/>
        </w:tabs>
        <w:rPr>
          <w:sz w:val="28"/>
          <w:szCs w:val="28"/>
        </w:rPr>
      </w:pPr>
      <w:r>
        <w:rPr>
          <w:sz w:val="28"/>
          <w:szCs w:val="28"/>
        </w:rPr>
        <w:t>Кворум имеется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Повестка дня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</w:tabs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Рассмотрение котировочных заявок, представленных для участия в запросе котировок в электронной форме №15/ЗКТЭ-ТЛЦ Белый Раст/25 на право оказания услуг по комплексной уборке территории (далее – заявка, запрос котировок соответственно).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</w:tabs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Оценка (сопоставление) заявок на участие в запросе котировок.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276" w:leader="none"/>
          <w:tab w:val="left" w:pos="5670" w:leader="none"/>
        </w:tabs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Подготовка предложений в комиссию по осуществлению закупок ООО «ТЛЦ «Белый Раст» по итогам запроса котировок №15/ЗКТЭ-ТЛЦ Белый Раст/25.</w:t>
      </w:r>
    </w:p>
    <w:p>
      <w:pPr>
        <w:pStyle w:val="Heading1"/>
        <w:tabs>
          <w:tab w:val="clear" w:pos="3630"/>
          <w:tab w:val="left" w:pos="720" w:leader="none"/>
        </w:tabs>
        <w:ind w:hanging="0" w:start="0"/>
        <w:jc w:val="center"/>
        <w:rPr/>
      </w:pPr>
      <w:r>
        <w:rPr/>
        <w:t>По пункту 1 повестки дня</w:t>
      </w:r>
    </w:p>
    <w:p>
      <w:pPr>
        <w:pStyle w:val="Normal"/>
        <w:numPr>
          <w:ilvl w:val="1"/>
          <w:numId w:val="2"/>
        </w:numPr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ООО «ТЛЦ «Белый Раст» проводит запрос котировок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№15/ЗКТЭ-ТЛЦ Белый Раст/25 на право оказания услуг по комплексной уборке территории.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>
          <w:rFonts w:eastAsia="Calibri"/>
          <w:bCs/>
          <w:szCs w:val="28"/>
          <w:lang w:eastAsia="en-US"/>
        </w:rPr>
      </w:pPr>
      <w:r>
        <w:rPr>
          <w:rFonts w:eastAsia="Calibri"/>
          <w:bCs/>
          <w:szCs w:val="28"/>
          <w:lang w:eastAsia="en-US"/>
        </w:rPr>
        <w:t>Установлена предельная стоимость договора в размере: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/>
      </w:pPr>
      <w:r>
        <w:rPr>
          <w:rFonts w:eastAsia="Calibri"/>
          <w:bCs/>
          <w:szCs w:val="28"/>
          <w:lang w:eastAsia="en-US"/>
        </w:rPr>
        <w:t>- 9 000 000 (девять миллионов) рублей 00 копеек без учета НДС;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/>
      </w:pPr>
      <w:r>
        <w:rPr>
          <w:rFonts w:eastAsia="Calibri"/>
          <w:bCs/>
          <w:szCs w:val="28"/>
          <w:lang w:eastAsia="en-US"/>
        </w:rPr>
        <w:t>- 7 500 000 (Семь миллионов пятьсот тысяч) рублей 00 копеек c учетом НДС.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>
          <w:bCs/>
        </w:rPr>
      </w:pPr>
      <w:r>
        <w:rPr>
          <w:rFonts w:eastAsia="Calibri"/>
          <w:bCs/>
          <w:szCs w:val="28"/>
          <w:lang w:eastAsia="en-US"/>
        </w:rPr>
        <w:t>Начальная (максимальная) цена единицы услуги сформирована методом сопоставимых рыночных цен (анализ рынка), предусмотренным подпунктом 1 пункта 54 Положения о закупке товаров, работ, услуг для нужд заказчика и включает в себя все расходы, затраты и вознаграждения Исполнителя (лицо, с которым заключается договор по результатам проведения данной конкурентной процедуры) в связи с надлежащим исполнением обязательств по Договору, все налоги, пошлины, сборы и другие обязательные платежи, которые Исполнитель должен выплатить в связи с исполнением обязательств по Договору в соответствии с законодательством Российской Федерации.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>
          <w:szCs w:val="28"/>
        </w:rPr>
      </w:pPr>
      <w:r>
        <w:rPr>
          <w:szCs w:val="28"/>
        </w:rPr>
        <w:t>Договор вступает в силу с момента подписания Сторонами и действует 12 (двенадцать) месяцев с даты подписания уполномоченными представителями Сторон, а в части обязательств по оплате выполненных работ, устранения недостатков в работе, возмещению имущественных потерь – до полного исполнения Сторонами своих обязательств, включая выплату штрафных санкций.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>
          <w:szCs w:val="28"/>
        </w:rPr>
      </w:pPr>
      <w:r>
        <w:rPr>
          <w:szCs w:val="28"/>
        </w:rPr>
        <w:t>К установленному извещением о проведении запроса котировок, сроку вскрытия поступили заявки:</w:t>
      </w:r>
    </w:p>
    <w:p>
      <w:pPr>
        <w:pStyle w:val="BodyText"/>
        <w:tabs>
          <w:tab w:val="clear" w:pos="708"/>
          <w:tab w:val="left" w:pos="1440" w:leader="none"/>
        </w:tabs>
        <w:suppressAutoHyphens w:val="true"/>
        <w:spacing w:lineRule="exact" w:line="360"/>
        <w:ind w:firstLine="709" w:end="0"/>
        <w:rPr>
          <w:szCs w:val="28"/>
        </w:rPr>
      </w:pPr>
      <w:r>
        <w:rPr>
          <w:szCs w:val="28"/>
        </w:rPr>
      </w:r>
    </w:p>
    <w:tbl>
      <w:tblPr>
        <w:tblW w:w="675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35"/>
        <w:gridCol w:w="2210"/>
        <w:gridCol w:w="2210"/>
      </w:tblGrid>
      <w:tr>
        <w:trPr/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Заявка № 1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Заявка № 2</w:t>
            </w:r>
          </w:p>
        </w:tc>
      </w:tr>
      <w:tr>
        <w:trPr/>
        <w:tc>
          <w:tcPr>
            <w:tcW w:w="2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Дата и время подачи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25.02.2025 08:58:33</w:t>
            </w:r>
          </w:p>
        </w:tc>
        <w:tc>
          <w:tcPr>
            <w:tcW w:w="2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25.02.2025 09:13:27</w:t>
            </w:r>
          </w:p>
        </w:tc>
      </w:tr>
      <w:tr>
        <w:trPr/>
        <w:tc>
          <w:tcPr>
            <w:tcW w:w="67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Всего поступило 2 (Две) заявки</w:t>
            </w:r>
          </w:p>
        </w:tc>
      </w:tr>
    </w:tbl>
    <w:p>
      <w:pPr>
        <w:pStyle w:val="Normal"/>
        <w:ind w:start="432" w:end="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rmal"/>
        <w:numPr>
          <w:ilvl w:val="1"/>
          <w:numId w:val="2"/>
        </w:numPr>
        <w:ind w:firstLine="709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итогам рассмотрения организатором </w:t>
      </w:r>
      <w:r>
        <w:rPr>
          <w:iCs/>
          <w:sz w:val="28"/>
          <w:szCs w:val="28"/>
        </w:rPr>
        <w:t>заявки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участников, представленных для участия в запросе котировок электронной форме №15/ЗКТЭ-ТЛЦ Белый Раст/25 на соответствие участников обязательным требованиям, а также наличие и соответствие представленных в составе заявок документов требованиям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извещения о проведении запроса котировок (за исключением требований технического задания извещения о проведении запроса котировок), установлено, что соответствуют обязательным требованиям извещения о проведении запроса котировок, представили документы, предусмотренные пунктом 3.14.8 приложения № 1 к извещению о проведении запроса котировок следующие участники, заявки которого передаются на рассмотрение экспертной группе:</w:t>
      </w:r>
    </w:p>
    <w:p>
      <w:pPr>
        <w:pStyle w:val="Normal"/>
        <w:ind w:start="709" w:end="0"/>
        <w:jc w:val="both"/>
        <w:rPr/>
      </w:pPr>
      <w:r>
        <w:rPr>
          <w:b/>
          <w:sz w:val="28"/>
          <w:szCs w:val="28"/>
        </w:rPr>
        <w:t>Порядковый номер заявки участника №1.</w:t>
      </w:r>
    </w:p>
    <w:p>
      <w:pPr>
        <w:pStyle w:val="Normal"/>
        <w:ind w:start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Порядковый номер заявки участника №2.</w:t>
      </w:r>
    </w:p>
    <w:p>
      <w:pPr>
        <w:pStyle w:val="Normal"/>
        <w:widowControl w:val="false"/>
        <w:autoSpaceDE w:val="false"/>
        <w:ind w:firstLine="709" w:end="0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Заявки передается для рассмотрения экспертной группе.</w:t>
      </w:r>
    </w:p>
    <w:p>
      <w:pPr>
        <w:pStyle w:val="Normal"/>
        <w:ind w:firstLine="709" w:end="0"/>
        <w:jc w:val="both"/>
        <w:rPr/>
      </w:pPr>
      <w:r>
        <w:rPr>
          <w:sz w:val="28"/>
          <w:szCs w:val="28"/>
        </w:rPr>
        <w:t>1.3.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>По итогам рассмотрения экспертной группой заявок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участников, представленных для участия в запросе котировок в электронной форме №15/ЗКТЭ-ТЛЦ Белый Раст/25 на соответствие заявок участников требованиям технического задания извещения о проведении запроса котировок, наличие и соответствие представленных в составе заявок документов требованиям технического задания извещения о проведении запроса котировок,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установлено, что: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1.3.1. Заявки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на участие в запросе котировок №15/ЗКТЭ-ТЛЦ Белый Раст/25 отклоняются и в допуске к участию в запросе котировок №15/ЗКТЭ-ТЛЦ Белый Раст/25 отказано следующим участникам: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rFonts w:cs="Courier New"/>
          <w:b/>
          <w:bCs/>
          <w:sz w:val="28"/>
          <w:szCs w:val="28"/>
        </w:rPr>
        <w:t xml:space="preserve">Участнику № </w:t>
      </w:r>
      <w:r>
        <w:rPr>
          <w:b/>
          <w:bCs/>
          <w:sz w:val="28"/>
          <w:szCs w:val="28"/>
        </w:rPr>
        <w:t>1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основании пункта 3.6.5.5 приложения № 1 к извещению о проведении запроса котировок в связи с предложением цены услуг </w:t>
      </w:r>
      <w:r>
        <w:rPr>
          <w:bCs/>
          <w:sz w:val="28"/>
          <w:szCs w:val="28"/>
        </w:rPr>
        <w:t>выше начальной (максимальной) цены за единицу</w:t>
      </w:r>
      <w:r>
        <w:rPr>
          <w:rFonts w:eastAsia="MS Mincho;ＭＳ 明朝"/>
          <w:sz w:val="28"/>
          <w:szCs w:val="28"/>
        </w:rPr>
        <w:t xml:space="preserve"> без учета НДС, установленной в техническом задании.</w:t>
      </w:r>
      <w:r>
        <w:rPr>
          <w:bCs/>
          <w:sz w:val="28"/>
          <w:szCs w:val="28"/>
        </w:rPr>
        <w:t xml:space="preserve"> Указанная величина начальной (максимальной) цены единицы</w:t>
      </w:r>
      <w:r>
        <w:rPr>
          <w:rFonts w:eastAsia="MS Mincho;ＭＳ 明朝"/>
          <w:sz w:val="28"/>
          <w:szCs w:val="28"/>
        </w:rPr>
        <w:t xml:space="preserve"> без учета НДС составляет </w:t>
      </w:r>
      <w:r>
        <w:rPr>
          <w:b/>
          <w:bCs/>
          <w:color w:val="000000"/>
          <w:sz w:val="28"/>
          <w:szCs w:val="28"/>
        </w:rPr>
        <w:t xml:space="preserve">649,38 рублей </w:t>
      </w:r>
      <w:r>
        <w:rPr>
          <w:sz w:val="28"/>
          <w:szCs w:val="28"/>
        </w:rPr>
        <w:t xml:space="preserve">без учета НДС, а участник №1 указал в своем техническом предложении предложенную цену за единицу без учета НДС в размере </w:t>
      </w:r>
      <w:r>
        <w:rPr>
          <w:b/>
          <w:bCs/>
          <w:sz w:val="28"/>
          <w:szCs w:val="28"/>
        </w:rPr>
        <w:t>6 950,00 (Шесть тысяч девятьсот пятьдесят рублей) 00 копеек</w:t>
      </w:r>
      <w:r>
        <w:rPr>
          <w:sz w:val="28"/>
          <w:szCs w:val="28"/>
        </w:rPr>
        <w:t>.</w:t>
      </w:r>
    </w:p>
    <w:p>
      <w:pPr>
        <w:pStyle w:val="Normal"/>
        <w:ind w:firstLine="709" w:end="0"/>
        <w:jc w:val="both"/>
        <w:rPr/>
      </w:pPr>
      <w:r>
        <w:rPr>
          <w:sz w:val="28"/>
          <w:szCs w:val="28"/>
        </w:rPr>
        <w:t xml:space="preserve">- </w:t>
      </w:r>
      <w:r>
        <w:rPr>
          <w:rFonts w:cs="Courier New"/>
          <w:b/>
          <w:bCs/>
          <w:sz w:val="28"/>
          <w:szCs w:val="28"/>
        </w:rPr>
        <w:t xml:space="preserve">Участнику № </w:t>
      </w:r>
      <w:r>
        <w:rPr>
          <w:b/>
          <w:bCs/>
          <w:sz w:val="28"/>
          <w:szCs w:val="28"/>
        </w:rPr>
        <w:t>2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основании пункта 3.6.5.5 приложения № 1 к извещению о проведении запроса котировок в связи с предложением цены услуг </w:t>
      </w:r>
      <w:r>
        <w:rPr>
          <w:bCs/>
          <w:sz w:val="28"/>
          <w:szCs w:val="28"/>
        </w:rPr>
        <w:t>выше начальной (максимальной) цены за единицу</w:t>
      </w:r>
      <w:r>
        <w:rPr>
          <w:rFonts w:eastAsia="MS Mincho;ＭＳ 明朝"/>
          <w:sz w:val="28"/>
          <w:szCs w:val="28"/>
        </w:rPr>
        <w:t xml:space="preserve"> без учета НДС, установленной в техническом задании.</w:t>
      </w:r>
      <w:r>
        <w:rPr>
          <w:bCs/>
          <w:sz w:val="28"/>
          <w:szCs w:val="28"/>
        </w:rPr>
        <w:t xml:space="preserve"> Указанная величина начальной (максимальной) цены единицы</w:t>
      </w:r>
      <w:r>
        <w:rPr>
          <w:rFonts w:eastAsia="MS Mincho;ＭＳ 明朝"/>
          <w:sz w:val="28"/>
          <w:szCs w:val="28"/>
        </w:rPr>
        <w:t xml:space="preserve"> без учета НДС составляет </w:t>
      </w:r>
      <w:r>
        <w:rPr>
          <w:b/>
          <w:bCs/>
          <w:color w:val="000000"/>
          <w:sz w:val="28"/>
          <w:szCs w:val="28"/>
        </w:rPr>
        <w:t xml:space="preserve">649,38 рублей </w:t>
      </w:r>
      <w:r>
        <w:rPr>
          <w:sz w:val="28"/>
          <w:szCs w:val="28"/>
        </w:rPr>
        <w:t xml:space="preserve">без учета НДС, а участник №1 указал в своем техническом предложении предложенную цену за единицу без учета НДС в размере </w:t>
      </w:r>
      <w:r>
        <w:rPr>
          <w:b/>
          <w:bCs/>
          <w:sz w:val="28"/>
          <w:szCs w:val="28"/>
        </w:rPr>
        <w:t>6 890,00 (Шесть тысяч восемьсот девяносто рублей 00 копеек</w:t>
      </w:r>
      <w:r>
        <w:rPr>
          <w:sz w:val="28"/>
          <w:szCs w:val="28"/>
        </w:rPr>
        <w:t>.</w:t>
      </w:r>
    </w:p>
    <w:p>
      <w:pPr>
        <w:pStyle w:val="Normal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Всего отклонено </w:t>
      </w:r>
      <w:r>
        <w:rPr>
          <w:b/>
          <w:bCs/>
          <w:sz w:val="28"/>
          <w:szCs w:val="28"/>
        </w:rPr>
        <w:t>ДВЕ</w:t>
      </w:r>
      <w:r>
        <w:rPr>
          <w:sz w:val="28"/>
          <w:szCs w:val="28"/>
        </w:rPr>
        <w:t xml:space="preserve"> заявки.</w:t>
      </w:r>
    </w:p>
    <w:p>
      <w:pPr>
        <w:pStyle w:val="Normal"/>
        <w:ind w:start="851" w:end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По пункту 2 повестки дня</w:t>
      </w:r>
    </w:p>
    <w:p>
      <w:pPr>
        <w:pStyle w:val="Normal"/>
        <w:ind w:firstLine="709" w:end="0"/>
        <w:jc w:val="both"/>
        <w:rPr/>
      </w:pPr>
      <w:r>
        <w:rPr>
          <w:sz w:val="28"/>
          <w:szCs w:val="28"/>
        </w:rPr>
        <w:t>2.1. В связи с тем, что к участию в запросе котировок №15/ЗКТЭ-ТЛЦ Белый Раст/25 не допущен ни один из участников, оценка (сопоставление) заявок участников в порядке, предусмотренном приложением № 1 к извещению о проведении запроса котировок, не проводится.</w:t>
      </w:r>
    </w:p>
    <w:p>
      <w:pPr>
        <w:pStyle w:val="Normal"/>
        <w:ind w:start="851" w:end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По пункту 3 повестки дня</w:t>
      </w:r>
    </w:p>
    <w:p>
      <w:pPr>
        <w:pStyle w:val="Normal"/>
        <w:ind w:firstLine="709" w:end="0"/>
        <w:jc w:val="both"/>
        <w:rPr/>
      </w:pPr>
      <w:r>
        <w:rPr>
          <w:sz w:val="28"/>
          <w:szCs w:val="28"/>
        </w:rPr>
        <w:t>3. На основании проведенной работы по рассмотрению и оценке (сопоставлению) котировочных заявок участников, представленных для участия в запросе котировок в электронной форме №15/ЗКТЭ-ТЛЦ Белый Раст/25 на право оказания услуг по комплексной уборке территории, принято решение вынести на рассмотрение комиссии Общества с ограниченной ответственностью «Терминально-логистический центр «Белый Раст» следующие предложения:</w:t>
      </w:r>
    </w:p>
    <w:p>
      <w:pPr>
        <w:pStyle w:val="Normal"/>
        <w:ind w:firstLine="709" w:start="142" w:end="0"/>
        <w:jc w:val="both"/>
        <w:rPr/>
      </w:pPr>
      <w:r>
        <w:rPr>
          <w:sz w:val="28"/>
          <w:szCs w:val="28"/>
        </w:rPr>
        <w:t xml:space="preserve">3.1. </w:t>
      </w:r>
      <w:bookmarkStart w:id="3" w:name="_Hlk148091166"/>
      <w:r>
        <w:rPr>
          <w:sz w:val="28"/>
          <w:szCs w:val="28"/>
        </w:rPr>
        <w:t>Запрос котировок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№15/ЗКТЭ-ТЛЦ Белый Раст/25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признать несостоявшимся в связи с тем, что по результатам проведения запроса котировок все заявки на участие в закупке отклонены на основании пункта 3.10.1.3 приложения № 1 к извещению о проведении запроса котировок</w:t>
      </w:r>
      <w:r>
        <w:rPr>
          <w:i/>
          <w:sz w:val="28"/>
          <w:szCs w:val="28"/>
        </w:rPr>
        <w:t>.</w:t>
      </w:r>
    </w:p>
    <w:p>
      <w:pPr>
        <w:pStyle w:val="Normal"/>
        <w:spacing w:lineRule="exact" w:line="300"/>
        <w:ind w:firstLine="851" w:end="0"/>
        <w:jc w:val="both"/>
        <w:rPr>
          <w:sz w:val="28"/>
          <w:szCs w:val="28"/>
          <w:u w:val="single"/>
        </w:rPr>
      </w:pPr>
      <w:bookmarkEnd w:id="3"/>
      <w:r>
        <w:rPr>
          <w:sz w:val="28"/>
          <w:szCs w:val="28"/>
          <w:u w:val="single"/>
        </w:rPr>
        <w:t>Подписи:</w:t>
      </w:r>
    </w:p>
    <w:p>
      <w:pPr>
        <w:pStyle w:val="Normal"/>
        <w:ind w:firstLine="709" w:end="0"/>
        <w:jc w:val="center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</w:r>
    </w:p>
    <w:p>
      <w:pPr>
        <w:pStyle w:val="Normal"/>
        <w:spacing w:lineRule="exact" w:line="300"/>
        <w:ind w:firstLine="851" w:end="0"/>
        <w:jc w:val="both"/>
        <w:rPr>
          <w:sz w:val="28"/>
          <w:szCs w:val="28"/>
        </w:rPr>
      </w:pPr>
      <w:r>
        <w:rPr>
          <w:sz w:val="28"/>
          <w:szCs w:val="28"/>
        </w:rPr>
        <w:t>Дата подписания протокола: «03» марта 2025 года</w:t>
      </w:r>
      <w:r>
        <w:br w:type="page"/>
      </w:r>
    </w:p>
    <w:p>
      <w:pPr>
        <w:pStyle w:val="Normal"/>
        <w:spacing w:lineRule="exact" w:line="300"/>
        <w:ind w:firstLine="851" w:end="0"/>
        <w:jc w:val="end"/>
        <w:rPr>
          <w:sz w:val="28"/>
          <w:szCs w:val="28"/>
        </w:rPr>
      </w:pPr>
      <w:r>
        <w:rPr>
          <w:sz w:val="28"/>
          <w:szCs w:val="28"/>
        </w:rPr>
        <w:t xml:space="preserve">Приложение № 1 к протоколу </w:t>
      </w:r>
    </w:p>
    <w:p>
      <w:pPr>
        <w:pStyle w:val="Normal"/>
        <w:spacing w:lineRule="exact" w:line="300"/>
        <w:ind w:firstLine="851" w:end="0"/>
        <w:jc w:val="end"/>
        <w:rPr>
          <w:sz w:val="28"/>
          <w:szCs w:val="28"/>
        </w:rPr>
      </w:pPr>
      <w:r>
        <w:rPr>
          <w:sz w:val="28"/>
          <w:szCs w:val="28"/>
        </w:rPr>
        <w:t>от «03» марта 2025 г. №15/ЗКТЭ-ТЛЦ Белый Раст/25/2</w:t>
      </w:r>
    </w:p>
    <w:p>
      <w:pPr>
        <w:pStyle w:val="Normal"/>
        <w:spacing w:lineRule="exact" w:line="300"/>
        <w:ind w:firstLine="851" w:end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567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Документы, представленные участниками запроса котировок в электронной форме </w:t>
      </w:r>
      <w:r>
        <w:rPr>
          <w:b/>
          <w:iCs/>
          <w:sz w:val="28"/>
          <w:szCs w:val="28"/>
        </w:rPr>
        <w:t xml:space="preserve">№15/ЗКТЭ-ТЛЦ Белый Раст/25 на право оказания услуг по комплексной уборке территории </w:t>
      </w:r>
      <w:r>
        <w:rPr>
          <w:b/>
          <w:sz w:val="28"/>
          <w:szCs w:val="28"/>
        </w:rPr>
        <w:t>в подтверждение соответствия обязательным требованиям извещения о проведении запроса котировок и иным требованиям, за исключением квалификационных требований и требований технического задания извещения о проведении запроса котировок, и информация об их рассмотрении</w:t>
      </w:r>
    </w:p>
    <w:p>
      <w:pPr>
        <w:pStyle w:val="Normal"/>
        <w:ind w:firstLine="567" w:end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861" w:type="dxa"/>
        <w:jc w:val="center"/>
        <w:tblInd w:w="0" w:type="dxa"/>
        <w:tblLayout w:type="fixed"/>
        <w:tblCellMar>
          <w:top w:w="75" w:type="dxa"/>
          <w:start w:w="40" w:type="dxa"/>
          <w:bottom w:w="75" w:type="dxa"/>
          <w:end w:w="40" w:type="dxa"/>
        </w:tblCellMar>
      </w:tblPr>
      <w:tblGrid>
        <w:gridCol w:w="2779"/>
        <w:gridCol w:w="3541"/>
        <w:gridCol w:w="3541"/>
      </w:tblGrid>
      <w:tr>
        <w:trPr>
          <w:trHeight w:val="23" w:hRule="atLeast"/>
        </w:trPr>
        <w:tc>
          <w:tcPr>
            <w:tcW w:w="2779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hanging="38"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Документы, необходимые по условиям извещения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Информация о наличии документа в составе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заявки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участника (Заявка №1)</w:t>
            </w:r>
          </w:p>
        </w:tc>
        <w:tc>
          <w:tcPr>
            <w:tcW w:w="354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Информация о наличии документа в составе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заявки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участника (Заявка №2)</w:t>
            </w:r>
          </w:p>
        </w:tc>
      </w:tr>
      <w:tr>
        <w:trPr>
          <w:trHeight w:val="23" w:hRule="atLeast"/>
        </w:trPr>
        <w:tc>
          <w:tcPr>
            <w:tcW w:w="2779" w:type="dxa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Заявка</w:t>
            </w:r>
          </w:p>
        </w:tc>
        <w:tc>
          <w:tcPr>
            <w:tcW w:w="354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представлена</w:t>
            </w:r>
          </w:p>
        </w:tc>
        <w:tc>
          <w:tcPr>
            <w:tcW w:w="3541" w:type="dxa"/>
            <w:tcBorders>
              <w:start w:val="single" w:sz="8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представлена</w:t>
            </w:r>
          </w:p>
        </w:tc>
      </w:tr>
      <w:tr>
        <w:trPr>
          <w:trHeight w:val="23" w:hRule="atLeast"/>
        </w:trPr>
        <w:tc>
          <w:tcPr>
            <w:tcW w:w="2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Обеспечение заявки</w:t>
            </w:r>
          </w:p>
        </w:tc>
        <w:tc>
          <w:tcPr>
            <w:tcW w:w="3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Представлено</w:t>
            </w:r>
          </w:p>
        </w:tc>
        <w:tc>
          <w:tcPr>
            <w:tcW w:w="3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Представлено</w:t>
            </w:r>
          </w:p>
        </w:tc>
      </w:tr>
    </w:tbl>
    <w:p>
      <w:pPr>
        <w:pStyle w:val="Normal"/>
        <w:spacing w:lineRule="exact" w:line="300"/>
        <w:ind w:firstLine="851" w:end="0"/>
        <w:jc w:val="end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t xml:space="preserve">Приложение № 2 к протоколу </w:t>
      </w:r>
    </w:p>
    <w:p>
      <w:pPr>
        <w:pStyle w:val="Normal"/>
        <w:spacing w:lineRule="exact" w:line="300"/>
        <w:ind w:firstLine="851" w:end="0"/>
        <w:jc w:val="end"/>
        <w:rPr>
          <w:sz w:val="28"/>
          <w:szCs w:val="28"/>
        </w:rPr>
      </w:pPr>
      <w:r>
        <w:rPr>
          <w:sz w:val="28"/>
          <w:szCs w:val="28"/>
        </w:rPr>
        <w:t>от «03» марта 2025 г. №15/ЗКТЭ-ТЛЦ Белый Раст/25/2</w:t>
      </w:r>
    </w:p>
    <w:p>
      <w:pPr>
        <w:pStyle w:val="Normal"/>
        <w:spacing w:lineRule="exact" w:line="300"/>
        <w:ind w:firstLine="851" w:end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exact" w:line="300"/>
        <w:ind w:firstLine="851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Документы, представленные участниками запроса котировок в электронной форме </w:t>
      </w:r>
      <w:r>
        <w:rPr>
          <w:b/>
          <w:iCs/>
          <w:sz w:val="28"/>
          <w:szCs w:val="28"/>
        </w:rPr>
        <w:t xml:space="preserve">№15/ЗКТЭ-ТЛЦ Белый Раст/25 на право оказания услуг по комплексной уборке территории </w:t>
      </w:r>
      <w:r>
        <w:rPr>
          <w:b/>
          <w:sz w:val="28"/>
          <w:szCs w:val="28"/>
        </w:rPr>
        <w:t>в подтверждение соответствия требованиям технического задания и иные документы, информация об их рассмотрении</w:t>
      </w:r>
    </w:p>
    <w:p>
      <w:pPr>
        <w:pStyle w:val="Normal"/>
        <w:spacing w:lineRule="exact" w:line="300"/>
        <w:ind w:firstLine="851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861" w:type="dxa"/>
        <w:jc w:val="center"/>
        <w:tblInd w:w="0" w:type="dxa"/>
        <w:tblLayout w:type="fixed"/>
        <w:tblCellMar>
          <w:top w:w="75" w:type="dxa"/>
          <w:start w:w="40" w:type="dxa"/>
          <w:bottom w:w="75" w:type="dxa"/>
          <w:end w:w="40" w:type="dxa"/>
        </w:tblCellMar>
      </w:tblPr>
      <w:tblGrid>
        <w:gridCol w:w="2137"/>
        <w:gridCol w:w="3862"/>
        <w:gridCol w:w="3862"/>
      </w:tblGrid>
      <w:tr>
        <w:trPr>
          <w:trHeight w:val="23" w:hRule="atLeast"/>
        </w:trPr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38"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Документы, необходимые по условиям извещения</w:t>
            </w:r>
          </w:p>
        </w:tc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Информация о наличии документа в составе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заявки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участника (Заявка №1)</w:t>
            </w:r>
          </w:p>
        </w:tc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Информация о наличии документа в составе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заявки</w:t>
            </w:r>
            <w:r>
              <w:rPr>
                <w:b/>
                <w:bCs/>
                <w:i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участника (Заявка №2)</w:t>
            </w:r>
          </w:p>
        </w:tc>
      </w:tr>
      <w:tr>
        <w:trPr>
          <w:trHeight w:val="23" w:hRule="atLeast"/>
        </w:trPr>
        <w:tc>
          <w:tcPr>
            <w:tcW w:w="98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Документы, подтверждающие соответствие требованиям технического задания</w:t>
            </w:r>
          </w:p>
        </w:tc>
      </w:tr>
      <w:tr>
        <w:trPr>
          <w:trHeight w:val="23" w:hRule="atLeast"/>
        </w:trPr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Техническое предложение</w:t>
            </w:r>
          </w:p>
        </w:tc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Представлено,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 соответствует</w:t>
            </w:r>
          </w:p>
        </w:tc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8"/>
                <w:szCs w:val="28"/>
              </w:rPr>
              <w:t>Представлено,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не соответствует</w:t>
            </w:r>
          </w:p>
        </w:tc>
      </w:tr>
      <w:tr>
        <w:trPr>
          <w:trHeight w:val="23" w:hRule="atLeast"/>
        </w:trPr>
        <w:tc>
          <w:tcPr>
            <w:tcW w:w="98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Условия технического предложения (ТП)</w:t>
            </w:r>
          </w:p>
        </w:tc>
      </w:tr>
      <w:tr>
        <w:trPr>
          <w:trHeight w:val="23" w:hRule="atLeast"/>
        </w:trPr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>Начальная (максимальная) цена единицы составляет 649,38 рублей без учета НДС</w:t>
            </w:r>
          </w:p>
        </w:tc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6 950,00 (Шесть тысяч девятьсот пятьдесят рублей) 00 копеек</w:t>
            </w:r>
          </w:p>
        </w:tc>
        <w:tc>
          <w:tcPr>
            <w:tcW w:w="3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iCs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6 890,00 (Шесть тысяч восемьсот девяносто рублей 00 копеек</w:t>
            </w:r>
          </w:p>
        </w:tc>
      </w:tr>
    </w:tbl>
    <w:p>
      <w:pPr>
        <w:pStyle w:val="Normal"/>
        <w:spacing w:lineRule="exact" w:line="300"/>
        <w:ind w:firstLine="851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49" w:gutter="0" w:header="0" w:top="851" w:footer="0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29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38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07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985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6054" w:hanging="180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763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832" w:hanging="21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801" w:hanging="1092"/>
      </w:pPr>
      <w:rPr>
        <w:i w:val="false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429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429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789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789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2149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2509" w:hanging="180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509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869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3630" w:leader="none"/>
      </w:tabs>
      <w:jc w:val="both"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1276" w:end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sz w:val="28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color w:val="000000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9z0">
    <w:name w:val="WW8Num19z0"/>
    <w:qFormat/>
    <w:rPr>
      <w:rFonts w:ascii="Symbol" w:hAnsi="Symbol" w:cs="Symbol"/>
      <w:sz w:val="24"/>
      <w:szCs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1z0">
    <w:name w:val="WW8Num21z0"/>
    <w:qFormat/>
    <w:rPr>
      <w:i w:val="false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b/>
      <w:i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3z0">
    <w:name w:val="WW8Num33z0"/>
    <w:qFormat/>
    <w:rPr>
      <w:i w:val="false"/>
    </w:rPr>
  </w:style>
  <w:style w:type="character" w:styleId="WW8Num33z1">
    <w:name w:val="WW8Num33z1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eastAsia="Times New Roman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Symbol" w:hAnsi="Symbol" w:eastAsia="Times New Roman" w:cs="Times New Roman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4z0">
    <w:name w:val="WW8Num44z0"/>
    <w:qFormat/>
    <w:rPr/>
  </w:style>
  <w:style w:type="character" w:styleId="WW8Num46z0">
    <w:name w:val="WW8Num46z0"/>
    <w:qFormat/>
    <w:rPr>
      <w:rFonts w:ascii="Symbol" w:hAnsi="Symbol" w:cs="Symbol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7z0">
    <w:name w:val="WW8Num47z0"/>
    <w:qFormat/>
    <w:rPr/>
  </w:style>
  <w:style w:type="character" w:styleId="Style10">
    <w:name w:val="Основной шрифт абзаца"/>
    <w:qFormat/>
    <w:rPr/>
  </w:style>
  <w:style w:type="character" w:styleId="4">
    <w:name w:val="Заголовок 4 Знак"/>
    <w:qFormat/>
    <w:rPr>
      <w:sz w:val="28"/>
      <w:lang w:val="ru-RU" w:bidi="ar-SA"/>
    </w:rPr>
  </w:style>
  <w:style w:type="character" w:styleId="Style11">
    <w:name w:val="Основной текст Знак"/>
    <w:qFormat/>
    <w:rPr>
      <w:sz w:val="28"/>
      <w:szCs w:val="22"/>
      <w:lang w:val="ru-RU" w:bidi="ar-SA"/>
    </w:rPr>
  </w:style>
  <w:style w:type="character" w:styleId="PageNumber">
    <w:name w:val="page number"/>
    <w:basedOn w:val="Style10"/>
    <w:rPr/>
  </w:style>
  <w:style w:type="character" w:styleId="Style12">
    <w:name w:val="Нижний колонтитул Знак"/>
    <w:qFormat/>
    <w:rPr>
      <w:sz w:val="24"/>
      <w:szCs w:val="24"/>
    </w:rPr>
  </w:style>
  <w:style w:type="character" w:styleId="Style13">
    <w:name w:val="Текст сноски Знак"/>
    <w:basedOn w:val="Style10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Style14">
    <w:name w:val="Верхний колонтитул Знак"/>
    <w:qFormat/>
    <w:rPr>
      <w:sz w:val="24"/>
      <w:szCs w:val="24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basedOn w:val="Style10"/>
    <w:qFormat/>
    <w:rPr/>
  </w:style>
  <w:style w:type="character" w:styleId="Style17">
    <w:name w:val="Тема примечания Знак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  <w:outlineLvl w:val="0"/>
    </w:pPr>
    <w:rPr>
      <w:b/>
      <w:sz w:val="32"/>
      <w:szCs w:val="32"/>
    </w:rPr>
  </w:style>
  <w:style w:type="paragraph" w:styleId="BodyText">
    <w:name w:val="Body Text"/>
    <w:basedOn w:val="Normal"/>
    <w:pPr>
      <w:widowControl w:val="false"/>
      <w:autoSpaceDE w:val="false"/>
      <w:jc w:val="both"/>
    </w:pPr>
    <w:rPr>
      <w:sz w:val="28"/>
      <w:szCs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widowControl w:val="false"/>
      <w:autoSpaceDE w:val="false"/>
      <w:ind w:firstLine="485" w:start="0" w:end="0"/>
      <w:jc w:val="both"/>
    </w:pPr>
    <w:rPr>
      <w:sz w:val="28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2">
    <w:name w:val="Основной текст с отступом 2"/>
    <w:basedOn w:val="Normal"/>
    <w:qFormat/>
    <w:pPr>
      <w:ind w:firstLine="708" w:start="0" w:end="0"/>
      <w:jc w:val="both"/>
    </w:pPr>
    <w:rPr>
      <w:sz w:val="28"/>
      <w:szCs w:val="28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1">
    <w:name w:val="Обычный1"/>
    <w:qFormat/>
    <w:pPr>
      <w:widowControl/>
      <w:bidi w:val="0"/>
      <w:ind w:firstLine="720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21">
    <w:name w:val="Обычный2"/>
    <w:qFormat/>
    <w:pPr>
      <w:widowControl/>
      <w:bidi w:val="0"/>
      <w:ind w:firstLine="720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9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20">
    <w:name w:val="Текст примечания"/>
    <w:basedOn w:val="Normal"/>
    <w:qFormat/>
    <w:pPr/>
    <w:rPr>
      <w:sz w:val="20"/>
      <w:szCs w:val="20"/>
    </w:rPr>
  </w:style>
  <w:style w:type="paragraph" w:styleId="Style21">
    <w:name w:val="Тема примечания"/>
    <w:basedOn w:val="Style20"/>
    <w:next w:val="Style20"/>
    <w:qFormat/>
    <w:pPr/>
    <w:rPr>
      <w:b/>
      <w:bCs/>
      <w:lang w:val="en-US"/>
    </w:rPr>
  </w:style>
  <w:style w:type="paragraph" w:styleId="Style22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2025-03-03T05:45:00Z</dcterms:created>
  <dc:creator/>
  <dc:description/>
  <cp:keywords/>
  <dc:language>en-US</dc:language>
  <cp:lastModifiedBy/>
  <dcterms:modified xsi:type="dcterms:W3CDTF">2025-03-03T05:47:00Z</dcterms:modified>
  <cp:revision>1</cp:revision>
  <dc:subject/>
  <dc:title/>
</cp:coreProperties>
</file>