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/>
        <w:jc w:val="end"/>
        <w:rPr>
          <w:b/>
        </w:rPr>
      </w:pPr>
      <w:r>
        <w:rPr>
          <w:b/>
        </w:rPr>
        <w:t xml:space="preserve">                                                                                 </w:t>
      </w:r>
    </w:p>
    <w:tbl>
      <w:tblPr>
        <w:tblpPr w:vertAnchor="page" w:horzAnchor="margin" w:tblpXSpec="center" w:leftFromText="180" w:rightFromText="180" w:tblpY="745"/>
        <w:tblW w:w="1314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3"/>
        <w:gridCol w:w="7796"/>
      </w:tblGrid>
      <w:tr>
        <w:trPr>
          <w:trHeight w:val="1135" w:hRule="atLeast"/>
        </w:trPr>
        <w:tc>
          <w:tcPr>
            <w:tcW w:w="5353" w:type="dxa"/>
            <w:tcBorders/>
          </w:tcPr>
          <w:p>
            <w:pPr>
              <w:pStyle w:val="Normal"/>
              <w:snapToGrid w:val="false"/>
              <w:spacing w:lineRule="auto" w:line="300"/>
              <w:ind w:firstLine="851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796" w:type="dxa"/>
            <w:tcBorders/>
          </w:tcPr>
          <w:p>
            <w:pPr>
              <w:pStyle w:val="HTML1"/>
              <w:suppressAutoHyphens w:val="true"/>
              <w:spacing w:lineRule="auto" w:line="300"/>
              <w:ind w:start="2302" w:end="0"/>
              <w:jc w:val="end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УТВЕРЖДАЮ</w:t>
            </w:r>
          </w:p>
          <w:p>
            <w:pPr>
              <w:pStyle w:val="Normal"/>
              <w:tabs>
                <w:tab w:val="clear" w:pos="708"/>
                <w:tab w:val="left" w:pos="-117" w:leader="none"/>
                <w:tab w:val="left" w:pos="6412" w:leader="none"/>
                <w:tab w:val="left" w:pos="6516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300"/>
              <w:jc w:val="end"/>
              <w:rPr/>
            </w:pPr>
            <w:r>
              <w:rPr>
                <w:bCs/>
              </w:rPr>
              <w:t>Генеральный директор АО «НПК «Дедал»</w:t>
            </w:r>
          </w:p>
          <w:p>
            <w:pPr>
              <w:pStyle w:val="Normal"/>
              <w:tabs>
                <w:tab w:val="clear" w:pos="708"/>
                <w:tab w:val="left" w:pos="-117" w:leader="none"/>
                <w:tab w:val="left" w:pos="6412" w:leader="none"/>
                <w:tab w:val="left" w:pos="6516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300"/>
              <w:jc w:val="end"/>
              <w:rPr>
                <w:bCs/>
              </w:rPr>
            </w:pPr>
            <w:r>
              <w:rPr>
                <w:bCs/>
              </w:rPr>
              <w:t>________________Д.М. Пименов</w:t>
            </w:r>
          </w:p>
          <w:p>
            <w:pPr>
              <w:pStyle w:val="HTML1"/>
              <w:tabs>
                <w:tab w:val="clear" w:pos="916"/>
                <w:tab w:val="clear" w:pos="2748"/>
                <w:tab w:val="clear" w:pos="3664"/>
                <w:tab w:val="clear" w:pos="4580"/>
                <w:tab w:val="clear" w:pos="5496"/>
                <w:tab w:val="left" w:pos="1168" w:leader="none"/>
                <w:tab w:val="left" w:pos="1832" w:leader="none"/>
                <w:tab w:val="left" w:pos="2019" w:leader="none"/>
                <w:tab w:val="left" w:pos="6412" w:leader="none"/>
                <w:tab w:val="left" w:pos="6516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300"/>
              <w:jc w:val="end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 xml:space="preserve">                                          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«15» декабря 2025 года</w:t>
            </w:r>
          </w:p>
        </w:tc>
      </w:tr>
    </w:tbl>
    <w:p>
      <w:pPr>
        <w:pStyle w:val="Normal"/>
        <w:spacing w:lineRule="auto" w:line="300"/>
        <w:ind w:firstLine="567" w:end="481"/>
        <w:jc w:val="center"/>
        <w:rPr>
          <w:b/>
          <w:bCs/>
          <w:kern w:val="2"/>
          <w:sz w:val="28"/>
          <w:szCs w:val="28"/>
        </w:rPr>
      </w:pPr>
      <w:r>
        <w:rPr>
          <w:b/>
          <w:bCs/>
          <w:kern w:val="2"/>
          <w:sz w:val="28"/>
          <w:szCs w:val="28"/>
        </w:rPr>
      </w:r>
    </w:p>
    <w:p>
      <w:pPr>
        <w:pStyle w:val="Normal"/>
        <w:spacing w:lineRule="auto" w:line="300"/>
        <w:ind w:firstLine="567" w:end="481"/>
        <w:jc w:val="center"/>
        <w:rPr>
          <w:b/>
          <w:bCs/>
          <w:kern w:val="2"/>
          <w:sz w:val="28"/>
          <w:szCs w:val="28"/>
        </w:rPr>
      </w:pPr>
      <w:r>
        <w:rPr>
          <w:b/>
          <w:bCs/>
          <w:kern w:val="2"/>
          <w:sz w:val="28"/>
          <w:szCs w:val="28"/>
        </w:rPr>
      </w:r>
    </w:p>
    <w:p>
      <w:pPr>
        <w:pStyle w:val="Normal"/>
        <w:spacing w:lineRule="auto" w:line="300"/>
        <w:ind w:firstLine="567" w:end="481"/>
        <w:jc w:val="center"/>
        <w:rPr>
          <w:b/>
          <w:bCs/>
          <w:kern w:val="2"/>
          <w:sz w:val="28"/>
          <w:szCs w:val="28"/>
        </w:rPr>
      </w:pPr>
      <w:r>
        <w:rPr>
          <w:b/>
          <w:bCs/>
          <w:kern w:val="2"/>
          <w:sz w:val="28"/>
          <w:szCs w:val="28"/>
        </w:rPr>
      </w:r>
    </w:p>
    <w:p>
      <w:pPr>
        <w:pStyle w:val="Heading1"/>
        <w:spacing w:lineRule="auto" w:line="300" w:before="0" w:after="0"/>
        <w:ind w:hanging="0" w:start="0" w:end="396"/>
        <w:jc w:val="center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Аналитическая записка к закупке на </w:t>
      </w:r>
      <w:bookmarkStart w:id="0" w:name="_Hlk216686420"/>
      <w:r>
        <w:rPr>
          <w:rFonts w:cs="Times New Roman" w:ascii="Times New Roman" w:hAnsi="Times New Roman"/>
          <w:sz w:val="28"/>
          <w:szCs w:val="28"/>
          <w:lang w:val="ru-RU"/>
        </w:rPr>
        <w:t>оказание услуг внутризоновой, междугородной и международной телефонной связи общего пользования</w:t>
      </w:r>
      <w:bookmarkEnd w:id="0"/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tabs>
          <w:tab w:val="clear" w:pos="708"/>
          <w:tab w:val="left" w:pos="-284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 xml:space="preserve">1. Заказчик: </w:t>
      </w:r>
      <w:r>
        <w:rPr/>
        <w:t>АО «НПК «Дедал».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>2. Обоснование проведения мелкой закупки (в соответствии с п./п. 1 а) п.1 статьи 4.2.2 ЕОСЗ ГК «Росатом»): закупки, стоимостью до 2 млн. руб. с НДС (включительно) для любых видов продукции.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/>
      </w:pPr>
      <w:r>
        <w:rPr>
          <w:bCs/>
          <w:kern w:val="2"/>
        </w:rPr>
        <w:t>3. Начальная (максимальная) цена:</w:t>
      </w:r>
      <w:r>
        <w:rPr/>
        <w:t xml:space="preserve"> </w:t>
      </w:r>
      <w:bookmarkStart w:id="1" w:name="_Hlk155769792"/>
      <w:r>
        <w:rPr/>
        <w:t xml:space="preserve">является предельной и не может превышать 250 000 (Двести пятьдесят тысяч) рублей 00 копеек, </w:t>
      </w:r>
      <w:bookmarkEnd w:id="1"/>
      <w:r>
        <w:rPr/>
        <w:t>в том числе НДС 22%.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>4. Сравнение предложений поставщиков: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</w:r>
    </w:p>
    <w:tbl>
      <w:tblPr>
        <w:tblW w:w="15168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8"/>
        <w:gridCol w:w="3039"/>
        <w:gridCol w:w="3193"/>
        <w:gridCol w:w="120"/>
        <w:gridCol w:w="3720"/>
        <w:gridCol w:w="3822"/>
        <w:gridCol w:w="636"/>
      </w:tblGrid>
      <w:tr>
        <w:trPr>
          <w:trHeight w:val="70" w:hRule="atLeast"/>
        </w:trPr>
        <w:tc>
          <w:tcPr>
            <w:tcW w:w="63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ind w:hanging="20" w:end="0"/>
              <w:jc w:val="center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30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Основные условия предложения поставщика</w:t>
            </w:r>
          </w:p>
        </w:tc>
        <w:tc>
          <w:tcPr>
            <w:tcW w:w="108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ind w:start="113" w:end="175"/>
              <w:jc w:val="center"/>
              <w:rPr/>
            </w:pPr>
            <w:r>
              <w:rPr/>
              <w:t xml:space="preserve">Описание предложений </w:t>
            </w:r>
            <w:r>
              <w:rPr>
                <w:bCs/>
                <w:kern w:val="2"/>
              </w:rPr>
              <w:t>поставщиков</w:t>
            </w:r>
          </w:p>
        </w:tc>
        <w:tc>
          <w:tcPr>
            <w:tcW w:w="6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300"/>
              <w:ind w:start="113" w:end="175"/>
              <w:jc w:val="center"/>
              <w:rPr/>
            </w:pPr>
            <w:r>
              <w:rPr/>
              <w:t>Примечание</w:t>
            </w:r>
          </w:p>
        </w:tc>
      </w:tr>
      <w:tr>
        <w:trPr>
          <w:trHeight w:val="763" w:hRule="atLeast"/>
          <w:cantSplit w:val="true"/>
        </w:trPr>
        <w:tc>
          <w:tcPr>
            <w:tcW w:w="63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ind w:hanging="20" w:end="0"/>
              <w:jc w:val="center"/>
              <w:rPr/>
            </w:pPr>
            <w:r>
              <w:rPr/>
            </w:r>
            <w:bookmarkStart w:id="2" w:name="_Hlk153783969"/>
            <w:bookmarkStart w:id="3" w:name="_Hlk153783969"/>
            <w:bookmarkEnd w:id="3"/>
          </w:p>
        </w:tc>
        <w:tc>
          <w:tcPr>
            <w:tcW w:w="3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rPr/>
            </w:pPr>
            <w:r>
              <w:rPr/>
            </w:r>
          </w:p>
        </w:tc>
        <w:tc>
          <w:tcPr>
            <w:tcW w:w="31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rStyle w:val="lstextview"/>
              </w:rPr>
              <w:t>АТКП № 242015</w:t>
            </w:r>
          </w:p>
        </w:tc>
        <w:tc>
          <w:tcPr>
            <w:tcW w:w="38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 xml:space="preserve">АТКП № 242024 </w:t>
            </w:r>
          </w:p>
        </w:tc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АТКП № 242064</w:t>
            </w:r>
          </w:p>
        </w:tc>
        <w:tc>
          <w:tcPr>
            <w:tcW w:w="6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300"/>
              <w:ind w:start="113" w:end="175"/>
              <w:jc w:val="center"/>
              <w:rPr/>
            </w:pPr>
            <w:r>
              <w:rPr/>
            </w:r>
          </w:p>
        </w:tc>
      </w:tr>
      <w:tr>
        <w:trPr>
          <w:trHeight w:val="181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08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>
        <w:trPr>
          <w:trHeight w:val="516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1.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Предлагаемая услуга</w:t>
            </w:r>
          </w:p>
        </w:tc>
        <w:tc>
          <w:tcPr>
            <w:tcW w:w="10855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33" w:leader="none"/>
              </w:tabs>
              <w:spacing w:lineRule="auto" w:line="300"/>
              <w:jc w:val="both"/>
              <w:rPr>
                <w:i/>
                <w:i/>
              </w:rPr>
            </w:pPr>
            <w:r>
              <w:rPr>
                <w:i/>
              </w:rPr>
              <w:t>Оказание услуг внутризоновой, междугородной и международной телефонной связи общего пользования.</w:t>
            </w:r>
          </w:p>
        </w:tc>
        <w:tc>
          <w:tcPr>
            <w:tcW w:w="6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33" w:leader="none"/>
              </w:tabs>
              <w:snapToGrid w:val="false"/>
              <w:spacing w:lineRule="auto" w:line="300"/>
              <w:jc w:val="both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>
          <w:trHeight w:val="70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2.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Количество предлагаемой услуги</w:t>
            </w:r>
          </w:p>
        </w:tc>
        <w:tc>
          <w:tcPr>
            <w:tcW w:w="10855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/>
            </w:pPr>
            <w:r>
              <w:rPr/>
            </w:r>
          </w:p>
        </w:tc>
        <w:tc>
          <w:tcPr>
            <w:tcW w:w="63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both"/>
              <w:rPr/>
            </w:pPr>
            <w:r>
              <w:rPr/>
            </w:r>
          </w:p>
        </w:tc>
      </w:tr>
      <w:tr>
        <w:trPr>
          <w:trHeight w:val="317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3.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Характеристики предлагаемой услуги</w:t>
            </w:r>
          </w:p>
        </w:tc>
        <w:tc>
          <w:tcPr>
            <w:tcW w:w="108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33" w:leader="none"/>
              </w:tabs>
              <w:spacing w:lineRule="auto" w:line="300"/>
              <w:rPr>
                <w:i/>
                <w:i/>
              </w:rPr>
            </w:pPr>
            <w:r>
              <w:rPr/>
              <w:t>Согласно проекту договора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4.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Вывод о соответствии предлагаемой услуги установленным требованиям</w:t>
            </w:r>
          </w:p>
        </w:tc>
        <w:tc>
          <w:tcPr>
            <w:tcW w:w="108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rPr/>
            </w:pPr>
            <w:r>
              <w:rPr/>
              <w:t>Товар соответствует заявленному качеству, количеству и техническим характеристикам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5.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Единичные расценки:</w:t>
            </w:r>
          </w:p>
        </w:tc>
        <w:tc>
          <w:tcPr>
            <w:tcW w:w="33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3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color w:val="FF0000"/>
                <w:highlight w:val="yellow"/>
              </w:rPr>
            </w:pPr>
            <w:r>
              <w:rPr>
                <w:color w:val="FF0000"/>
                <w:highlight w:val="yellow"/>
              </w:rPr>
            </w:r>
          </w:p>
        </w:tc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5.1.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/>
              <w:t>Услуги внутризоновой, междугородной и международной телефонной связи общего пользования/ мес.</w:t>
            </w:r>
          </w:p>
        </w:tc>
        <w:tc>
          <w:tcPr>
            <w:tcW w:w="33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 xml:space="preserve">2 000,00 руб., </w:t>
            </w:r>
            <w:r>
              <w:rPr>
                <w:rFonts w:eastAsia="Calibri"/>
                <w:lang w:eastAsia="en-US"/>
              </w:rPr>
              <w:t>НДС 22%</w:t>
            </w:r>
          </w:p>
        </w:tc>
        <w:tc>
          <w:tcPr>
            <w:tcW w:w="3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 xml:space="preserve">3 500,00 руб., </w:t>
            </w:r>
            <w:r>
              <w:rPr>
                <w:rFonts w:eastAsia="Calibri"/>
                <w:lang w:eastAsia="en-US"/>
              </w:rPr>
              <w:t>без НДС</w:t>
            </w:r>
          </w:p>
          <w:p>
            <w:pPr>
              <w:pStyle w:val="Normal"/>
              <w:spacing w:lineRule="auto" w:line="300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</w:r>
          </w:p>
        </w:tc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 xml:space="preserve">2 800,00 руб., </w:t>
            </w:r>
            <w:r>
              <w:rPr>
                <w:rFonts w:eastAsia="Calibri"/>
                <w:lang w:eastAsia="en-US"/>
              </w:rPr>
              <w:t>без НДС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>
          <w:trHeight w:val="60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Условия исполнения договора:</w:t>
            </w:r>
          </w:p>
        </w:tc>
        <w:tc>
          <w:tcPr>
            <w:tcW w:w="108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-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6.1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Условия оказания услуг</w:t>
            </w:r>
          </w:p>
        </w:tc>
        <w:tc>
          <w:tcPr>
            <w:tcW w:w="108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rPr/>
            </w:pPr>
            <w:r>
              <w:rPr/>
              <w:t>Согласно проекту договора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6.2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Место оказания услуг</w:t>
            </w:r>
          </w:p>
        </w:tc>
        <w:tc>
          <w:tcPr>
            <w:tcW w:w="108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4"/>
              <w:rPr>
                <w:highlight w:val="yellow"/>
              </w:rPr>
            </w:pPr>
            <w:r>
              <w:rPr/>
              <w:t>Согласно проекту договора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>
          <w:trHeight w:val="1365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6.3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Форма, срок и порядок оплаты</w:t>
            </w:r>
          </w:p>
        </w:tc>
        <w:tc>
          <w:tcPr>
            <w:tcW w:w="108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4"/>
              <w:jc w:val="both"/>
              <w:rPr>
                <w:highlight w:val="yellow"/>
              </w:rPr>
            </w:pPr>
            <w:r>
              <w:rPr/>
              <w:t>Согласно проекту договора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/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6.4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Срок оказания услуг</w:t>
            </w:r>
          </w:p>
        </w:tc>
        <w:tc>
          <w:tcPr>
            <w:tcW w:w="108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4"/>
              <w:rPr>
                <w:b/>
                <w:bCs/>
                <w:highlight w:val="yellow"/>
              </w:rPr>
            </w:pPr>
            <w:r>
              <w:rPr/>
              <w:t>Согласно проекту договора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</w:r>
          </w:p>
        </w:tc>
      </w:tr>
      <w:tr>
        <w:trPr/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6.5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Сроки и объем гарантийных обязательств</w:t>
            </w:r>
          </w:p>
        </w:tc>
        <w:tc>
          <w:tcPr>
            <w:tcW w:w="108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rPr/>
            </w:pPr>
            <w:r>
              <w:rPr/>
              <w:t>Согласно проекту договора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6.6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Иные условия исполнения договора</w:t>
            </w:r>
          </w:p>
        </w:tc>
        <w:tc>
          <w:tcPr>
            <w:tcW w:w="108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rPr/>
            </w:pPr>
            <w:r>
              <w:rPr/>
              <w:t>Согласно проекту договора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7.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Вывод о соответствии предложения поставщика существенным условиям проекта договора</w:t>
            </w:r>
          </w:p>
        </w:tc>
        <w:tc>
          <w:tcPr>
            <w:tcW w:w="108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rPr/>
            </w:pPr>
            <w:r>
              <w:rPr/>
              <w:t>Соответствует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8.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Соответствие поставщика предъявляемым требованиям (критериям отбора), </w:t>
            </w:r>
          </w:p>
          <w:p>
            <w:pPr>
              <w:pStyle w:val="Normal"/>
              <w:rPr>
                <w:i/>
                <w:i/>
              </w:rPr>
            </w:pPr>
            <w:r>
              <w:rPr>
                <w:i/>
              </w:rPr>
              <w:t>в том числе:</w:t>
            </w:r>
          </w:p>
          <w:p>
            <w:pPr>
              <w:pStyle w:val="Normal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- наличие гражданской правоспособности в полном объеме для заключения и исполнения договора;</w:t>
            </w:r>
          </w:p>
          <w:p>
            <w:pPr>
              <w:pStyle w:val="Normal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- наличие необходимых лицензий, разрешений, допусков на выполнение определенных видов работ;</w:t>
            </w:r>
          </w:p>
          <w:p>
            <w:pPr>
              <w:pStyle w:val="Normal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- наличие необходимых профессиональных знаний, опыта выполнения работ;</w:t>
            </w:r>
          </w:p>
          <w:p>
            <w:pPr>
              <w:pStyle w:val="Normal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- наличие кадровых и материальных ресурсов для исполнения договора;</w:t>
            </w:r>
          </w:p>
          <w:p>
            <w:pPr>
              <w:pStyle w:val="Normal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- и т.д.</w:t>
            </w:r>
          </w:p>
        </w:tc>
        <w:tc>
          <w:tcPr>
            <w:tcW w:w="108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rPr/>
            </w:pPr>
            <w:r>
              <w:rPr/>
              <w:t>Соответствует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9.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Критерии оценки </w:t>
            </w:r>
            <w:r>
              <w:rPr>
                <w:bCs/>
                <w:kern w:val="2"/>
              </w:rPr>
              <w:t>поставщиков</w:t>
            </w:r>
            <w:r>
              <w:rPr/>
              <w:t>:</w:t>
            </w:r>
          </w:p>
        </w:tc>
        <w:tc>
          <w:tcPr>
            <w:tcW w:w="1085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rPr/>
            </w:pPr>
            <w:r>
              <w:rPr/>
              <w:t xml:space="preserve">Цена 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9.1.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Цена</w:t>
            </w:r>
          </w:p>
        </w:tc>
        <w:tc>
          <w:tcPr>
            <w:tcW w:w="33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3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10.</w:t>
            </w:r>
          </w:p>
        </w:tc>
        <w:tc>
          <w:tcPr>
            <w:tcW w:w="3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ИТОГОВАЯ ОЦЕНКА</w:t>
            </w:r>
          </w:p>
        </w:tc>
        <w:tc>
          <w:tcPr>
            <w:tcW w:w="33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Наименьшая цена</w:t>
            </w:r>
          </w:p>
        </w:tc>
        <w:tc>
          <w:tcPr>
            <w:tcW w:w="3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-</w:t>
            </w:r>
          </w:p>
        </w:tc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-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</w:tbl>
    <w:p>
      <w:pPr>
        <w:pStyle w:val="Normal"/>
        <w:ind w:firstLine="142" w:end="300"/>
        <w:jc w:val="both"/>
        <w:rPr>
          <w:b/>
          <w:bCs/>
          <w:kern w:val="2"/>
        </w:rPr>
      </w:pPr>
      <w:r>
        <w:rPr>
          <w:b/>
          <w:bCs/>
          <w:kern w:val="2"/>
        </w:rPr>
        <w:t xml:space="preserve">Обоснование выбора поставщика: </w:t>
      </w:r>
    </w:p>
    <w:p>
      <w:pPr>
        <w:pStyle w:val="Normal"/>
        <w:ind w:firstLine="709" w:start="-567" w:end="301"/>
        <w:rPr/>
      </w:pPr>
      <w:r>
        <w:rPr/>
        <w:t>Для заключения рамочного договора на оказание услуг внутризоновой, междугородной и международной телефонной связи общего пользования, 12.11.2025 на ЭТП ЭТС-Фабрикант, РТС-Тендер, АО «Единая электронная торговая площадка» и АО «Сбербанк-АСТ» были направлены электронные запросы ТКП, в ответ ЭТКП не поступило.</w:t>
      </w:r>
    </w:p>
    <w:p>
      <w:pPr>
        <w:pStyle w:val="Normal"/>
        <w:ind w:firstLine="709" w:start="-567" w:end="301"/>
        <w:rPr/>
      </w:pPr>
      <w:r>
        <w:rPr/>
        <w:t>Также были направлены запросы на предоставление АТКП Участнику № 242064, Участнику № 242015, Участнику № 242024.</w:t>
      </w:r>
    </w:p>
    <w:p>
      <w:pPr>
        <w:pStyle w:val="Normal"/>
        <w:ind w:firstLine="709" w:start="-567" w:end="301"/>
        <w:jc w:val="both"/>
        <w:rPr/>
      </w:pPr>
      <w:r>
        <w:rPr/>
        <w:t xml:space="preserve">Предлагаемые цены не требуют пересчета стоимости в текущий уровень цен, поскольку указаны на дату подготовки процедуры закупки. </w:t>
      </w:r>
    </w:p>
    <w:p>
      <w:pPr>
        <w:pStyle w:val="Normal"/>
        <w:ind w:firstLine="709" w:start="-567" w:end="301"/>
        <w:jc w:val="both"/>
        <w:rPr/>
      </w:pPr>
      <w:r>
        <w:rPr/>
        <w:t>На основании вышеизложенного и в связи с предоставлением информации о цепочке собственников с подтверждающими документами наиболее целесообразно заключить договор с АТКП № 242015, предложившим минимальную стоимость оказания услуг товара.</w:t>
      </w:r>
    </w:p>
    <w:p>
      <w:pPr>
        <w:pStyle w:val="Normal"/>
        <w:ind w:firstLine="709" w:start="-567" w:end="301"/>
        <w:jc w:val="both"/>
        <w:rPr/>
      </w:pPr>
      <w:r>
        <w:rPr>
          <w:b/>
          <w:bCs/>
        </w:rPr>
        <w:t>Результаты переговоров по снижению цены:</w:t>
      </w:r>
      <w:r>
        <w:rPr/>
        <w:t xml:space="preserve"> с АТКП № 242015 проведены переговоры по снижению цены договора, в результате цена договора поставщика осталась неизменной и составляет 250 000 (Двести пятьдесят тысяч) рублей 00 копеек, в том числе НДС 22%.</w:t>
      </w:r>
    </w:p>
    <w:p>
      <w:pPr>
        <w:pStyle w:val="Normal"/>
        <w:ind w:firstLine="709" w:start="-567" w:end="301"/>
        <w:jc w:val="both"/>
        <w:rPr/>
      </w:pPr>
      <w:r>
        <w:rPr>
          <w:b/>
          <w:bCs/>
          <w:kern w:val="2"/>
        </w:rPr>
        <w:t>Приложения:</w:t>
      </w:r>
      <w:r>
        <w:rPr/>
        <w:t xml:space="preserve"> АТКП, разрешение на информационный обмен; заключение ПДТК о возможности открытого опубликования; проект договора.</w:t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rPr/>
      </w:pPr>
      <w:r>
        <w:rPr/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rPr/>
      </w:pPr>
      <w:r>
        <w:rPr/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rPr/>
      </w:pPr>
      <w:r>
        <w:rPr/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rPr/>
      </w:pPr>
      <w:r>
        <w:rPr/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rPr/>
      </w:pPr>
      <w:r>
        <w:rPr/>
        <w:t>Начальник УМТО</w:t>
      </w:r>
      <w:r>
        <w:rPr>
          <w:sz w:val="26"/>
          <w:szCs w:val="26"/>
        </w:rPr>
        <w:tab/>
        <w:t xml:space="preserve">      </w:t>
      </w:r>
      <w:r>
        <w:rPr/>
        <w:t>_____________ Сидоров Е.Ф.</w:t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rPr>
          <w:i/>
          <w:i/>
          <w:sz w:val="18"/>
          <w:szCs w:val="18"/>
        </w:rPr>
      </w:pPr>
      <w:r>
        <w:rPr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(должность руководителя подразделения – инициатора закупки)</w:t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rPr>
          <w:iCs/>
        </w:rPr>
      </w:pPr>
      <w:r>
        <w:rPr>
          <w:iCs/>
        </w:rPr>
        <w:t>Согласовано</w:t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rPr>
          <w:iCs/>
        </w:rPr>
      </w:pPr>
      <w:r>
        <w:rPr>
          <w:iCs/>
        </w:rPr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rPr/>
      </w:pPr>
      <w:r>
        <w:rPr>
          <w:iCs/>
        </w:rPr>
        <w:t>Советник генерального директора по закупочной деятельности                                                        ______________Тараканов В.А.</w:t>
      </w:r>
    </w:p>
    <w:sectPr>
      <w:type w:val="nextPage"/>
      <w:pgSz w:orient="landscape" w:w="16838" w:h="11906"/>
      <w:pgMar w:left="1418" w:right="567" w:gutter="0" w:header="0" w:top="1134" w:footer="0" w:bottom="1135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  <w:lang w:val="en-US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 w:val="22"/>
      <w:szCs w:val="22"/>
      <w:u w:val="none"/>
      <w:vertAlign w:val="baseline"/>
      <w:lang w:val="ru-RU"/>
    </w:rPr>
  </w:style>
  <w:style w:type="character" w:styleId="WW8Num4z1">
    <w:name w:val="WW8Num4z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color w:val="000000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Style14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5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HTML">
    <w:name w:val="Стандартный HTML Знак"/>
    <w:qFormat/>
    <w:rPr>
      <w:rFonts w:ascii="Courier New" w:hAnsi="Courier New" w:eastAsia="Times New Roman" w:cs="Courier New"/>
      <w:sz w:val="20"/>
      <w:szCs w:val="20"/>
    </w:rPr>
  </w:style>
  <w:style w:type="character" w:styleId="Style16">
    <w:name w:val="Схема документа Знак"/>
    <w:qFormat/>
    <w:rPr>
      <w:rFonts w:ascii="Tahoma" w:hAnsi="Tahoma" w:eastAsia="Times New Roman" w:cs="Tahoma"/>
      <w:sz w:val="16"/>
      <w:szCs w:val="16"/>
    </w:rPr>
  </w:style>
  <w:style w:type="character" w:styleId="2">
    <w:name w:val="Основной текст с отступом 2 Знак"/>
    <w:qFormat/>
    <w:rPr>
      <w:sz w:val="24"/>
      <w:szCs w:val="24"/>
      <w:lang w:val="ru-RU" w:bidi="ar-SA"/>
    </w:rPr>
  </w:style>
  <w:style w:type="character" w:styleId="11">
    <w:name w:val="Заголовок 1 Знак Знак Знак Знак Знак Знак Знак Знак Знак Знак"/>
    <w:qFormat/>
    <w:rPr>
      <w:rFonts w:ascii="Arial" w:hAnsi="Arial" w:cs="Arial"/>
      <w:b/>
      <w:bCs/>
      <w:kern w:val="2"/>
      <w:sz w:val="32"/>
      <w:szCs w:val="32"/>
      <w:lang w:val="ru-RU" w:bidi="ar-SA"/>
    </w:rPr>
  </w:style>
  <w:style w:type="character" w:styleId="Hyperlink">
    <w:name w:val="Hyperlink"/>
    <w:rPr>
      <w:color w:val="0000FF"/>
      <w:u w:val="single"/>
    </w:rPr>
  </w:style>
  <w:style w:type="character" w:styleId="Style17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12">
    <w:name w:val="Основной текст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 w:val="22"/>
      <w:szCs w:val="22"/>
      <w:u w:val="none"/>
      <w:vertAlign w:val="baseline"/>
      <w:lang w:val="ru-RU"/>
    </w:rPr>
  </w:style>
  <w:style w:type="character" w:styleId="Style18">
    <w:name w:val="Основной текст с отступом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52">
    <w:name w:val="Font Style52"/>
    <w:qFormat/>
    <w:rPr>
      <w:rFonts w:ascii="Times New Roman" w:hAnsi="Times New Roman" w:cs="Times New Roman"/>
      <w:b/>
      <w:bCs/>
      <w:spacing w:val="20"/>
      <w:sz w:val="20"/>
      <w:szCs w:val="20"/>
    </w:rPr>
  </w:style>
  <w:style w:type="character" w:styleId="lstextview">
    <w:name w:val="lstextview"/>
    <w:qFormat/>
    <w:rPr/>
  </w:style>
  <w:style w:type="character" w:styleId="FontStyle53">
    <w:name w:val="Font Style53"/>
    <w:qFormat/>
    <w:rPr>
      <w:rFonts w:ascii="Times New Roman" w:hAnsi="Times New Roman" w:cs="Times New Roman"/>
      <w:spacing w:val="10"/>
      <w:sz w:val="20"/>
      <w:szCs w:val="20"/>
    </w:rPr>
  </w:style>
  <w:style w:type="character" w:styleId="Style19">
    <w:name w:val="Другое_"/>
    <w:qFormat/>
    <w:rPr>
      <w:rFonts w:ascii="Times New Roman" w:hAnsi="Times New Roman" w:eastAsia="Times New Roman" w:cs="Times New Roman"/>
      <w:sz w:val="28"/>
      <w:szCs w:val="28"/>
    </w:rPr>
  </w:style>
  <w:style w:type="character" w:styleId="Style20">
    <w:name w:val="Абзац списка Знак"/>
    <w:qFormat/>
    <w:rPr>
      <w:rFonts w:eastAsia="Times New Roman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Style21">
    <w:name w:val="Схема документа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21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>
      <w:rFonts w:ascii="Calibri" w:hAnsi="Calibri" w:eastAsia="Calibri" w:cs="Calibri"/>
    </w:rPr>
  </w:style>
  <w:style w:type="paragraph" w:styleId="Style22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Style23">
    <w:name w:val="Простой текст"/>
    <w:basedOn w:val="Normal"/>
    <w:qFormat/>
    <w:pPr>
      <w:widowControl w:val="false"/>
      <w:spacing w:lineRule="auto" w:line="360"/>
      <w:ind w:firstLine="567" w:start="284" w:end="0"/>
      <w:jc w:val="both"/>
    </w:pPr>
    <w:rPr>
      <w:sz w:val="28"/>
      <w:szCs w:val="20"/>
    </w:rPr>
  </w:style>
  <w:style w:type="paragraph" w:styleId="Style24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Style25">
    <w:name w:val="Справочные данные"/>
    <w:basedOn w:val="Normal"/>
    <w:qFormat/>
    <w:pPr>
      <w:autoSpaceDE w:val="false"/>
    </w:pPr>
    <w:rPr>
      <w:rFonts w:eastAsia="Calibri"/>
      <w:sz w:val="22"/>
      <w:szCs w:val="22"/>
      <w:lang w:val="en-US" w:eastAsia="en-US"/>
    </w:rPr>
  </w:style>
  <w:style w:type="paragraph" w:styleId="ConsPlusNormal">
    <w:name w:val="ConsPlus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8"/>
      <w:szCs w:val="28"/>
      <w:lang w:val="ru-RU" w:bidi="ar-SA" w:eastAsia="zh-CN"/>
    </w:rPr>
  </w:style>
  <w:style w:type="paragraph" w:styleId="Style26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cs="Calibri"/>
      <w:sz w:val="22"/>
      <w:szCs w:val="22"/>
    </w:rPr>
  </w:style>
  <w:style w:type="paragraph" w:styleId="Style27">
    <w:name w:val="Style27"/>
    <w:basedOn w:val="Normal"/>
    <w:qFormat/>
    <w:pPr>
      <w:widowControl w:val="false"/>
      <w:autoSpaceDE w:val="false"/>
    </w:pPr>
    <w:rPr/>
  </w:style>
  <w:style w:type="paragraph" w:styleId="Style28">
    <w:name w:val="Другое"/>
    <w:basedOn w:val="Normal"/>
    <w:qFormat/>
    <w:pPr>
      <w:widowControl w:val="false"/>
      <w:spacing w:lineRule="auto" w:line="276" w:before="0" w:after="200"/>
    </w:pPr>
    <w:rPr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2021-08-04T10:23:00Z</dcterms:created>
  <dc:creator>Вашуркин Д.В. Росатом</dc:creator>
  <dc:description/>
  <cp:keywords/>
  <dc:language>en-US</dc:language>
  <cp:lastModifiedBy>Филатова Александра Игоревна</cp:lastModifiedBy>
  <cp:lastPrinted>2023-03-10T10:03:00Z</cp:lastPrinted>
  <dcterms:modified xsi:type="dcterms:W3CDTF">2025-12-15T09:23:00Z</dcterms:modified>
  <cp:revision>340</cp:revision>
  <dc:subject/>
  <dc:title/>
</cp:coreProperties>
</file>