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Протокол №32515480877</w:t>
      </w:r>
    </w:p>
    <w:p>
      <w:pPr>
        <w:pStyle w:val="Normal"/>
        <w:ind w:firstLine="142" w:end="0"/>
        <w:jc w:val="center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>подведения итогов запроса котировок в электронной форме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284" w:end="0"/>
        <w:jc w:val="both"/>
        <w:rPr/>
      </w:pPr>
      <w:r>
        <w:rPr>
          <w:sz w:val="22"/>
          <w:szCs w:val="22"/>
        </w:rPr>
        <w:t xml:space="preserve">г. </w:t>
      </w:r>
      <w:r>
        <w:rPr>
          <w:color w:val="000000"/>
          <w:sz w:val="22"/>
          <w:szCs w:val="22"/>
        </w:rPr>
        <w:t xml:space="preserve">Магадан                                            </w:t>
        <w:tab/>
        <w:t xml:space="preserve">                                                                    </w:t>
        <w:tab/>
        <w:t>«15» декабря 2025</w:t>
      </w:r>
      <w:r>
        <w:rPr>
          <w:sz w:val="22"/>
          <w:szCs w:val="22"/>
        </w:rPr>
        <w:t>г.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>
          <w:color w:val="000000"/>
          <w:spacing w:val="-1"/>
          <w:sz w:val="22"/>
          <w:szCs w:val="22"/>
        </w:rPr>
      </w:pPr>
      <w:r>
        <w:rPr>
          <w:b/>
          <w:sz w:val="22"/>
          <w:szCs w:val="22"/>
        </w:rPr>
        <w:t>Заказчик: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bidi="en-US"/>
        </w:rPr>
        <w:t>ФБУЗ «Центр гигиены и эпидемиологии в Магаданской области»</w:t>
      </w:r>
    </w:p>
    <w:p>
      <w:pPr>
        <w:pStyle w:val="Normal"/>
        <w:widowControl w:val="false"/>
        <w:autoSpaceDE w:val="false"/>
        <w:ind w:start="284" w:end="0"/>
        <w:jc w:val="both"/>
        <w:rPr>
          <w:bCs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Реестровый номер закупки:</w:t>
      </w:r>
      <w:r>
        <w:rPr>
          <w:sz w:val="22"/>
          <w:szCs w:val="22"/>
        </w:rPr>
        <w:t xml:space="preserve"> 32515480877</w:t>
      </w:r>
    </w:p>
    <w:p>
      <w:pPr>
        <w:pStyle w:val="Normal"/>
        <w:keepNext w:val="true"/>
        <w:keepLines/>
        <w:widowControl w:val="false"/>
        <w:suppressLineNumbers/>
        <w:ind w:firstLine="284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Наименование закупки: </w:t>
      </w:r>
      <w:r>
        <w:rPr>
          <w:sz w:val="22"/>
          <w:szCs w:val="22"/>
        </w:rPr>
        <w:t>Поставка пакетов для гомогенизации</w:t>
      </w:r>
    </w:p>
    <w:p>
      <w:pPr>
        <w:pStyle w:val="Normal"/>
        <w:keepNext w:val="true"/>
        <w:keepLines/>
        <w:widowControl w:val="false"/>
        <w:suppressLineNumbers/>
        <w:ind w:firstLine="284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Начальная (максимальная) цена договора: </w:t>
      </w:r>
      <w:r>
        <w:rPr>
          <w:sz w:val="22"/>
          <w:szCs w:val="22"/>
        </w:rPr>
        <w:t>128 300 рублей 00 копеек</w:t>
      </w:r>
    </w:p>
    <w:p>
      <w:pPr>
        <w:pStyle w:val="Normal"/>
        <w:ind w:start="284" w:end="0"/>
        <w:jc w:val="both"/>
        <w:rPr/>
      </w:pPr>
      <w:r>
        <w:rPr>
          <w:b/>
          <w:sz w:val="22"/>
          <w:szCs w:val="22"/>
        </w:rPr>
        <w:t xml:space="preserve">1. Извещение и документация о проведении </w:t>
      </w:r>
      <w:r>
        <w:rPr>
          <w:b/>
          <w:bCs/>
          <w:sz w:val="22"/>
          <w:szCs w:val="22"/>
        </w:rPr>
        <w:t>запроса котировок в электронной форме</w:t>
      </w:r>
      <w:r>
        <w:rPr>
          <w:b/>
          <w:sz w:val="22"/>
          <w:szCs w:val="22"/>
        </w:rPr>
        <w:t xml:space="preserve"> были размещены </w:t>
      </w:r>
      <w:r>
        <w:rPr>
          <w:b/>
          <w:sz w:val="22"/>
          <w:szCs w:val="22"/>
          <w:u w:val="single"/>
        </w:rPr>
        <w:t>«03» декабря 2025</w:t>
      </w:r>
      <w:r>
        <w:rPr>
          <w:b/>
          <w:sz w:val="22"/>
          <w:szCs w:val="22"/>
        </w:rPr>
        <w:t xml:space="preserve"> года на сайтах в и</w:t>
      </w:r>
      <w:r>
        <w:rPr>
          <w:b/>
          <w:bCs/>
          <w:sz w:val="22"/>
          <w:szCs w:val="22"/>
        </w:rPr>
        <w:t xml:space="preserve">нформационно-телекоммуникационной </w:t>
      </w:r>
      <w:r>
        <w:rPr>
          <w:b/>
          <w:sz w:val="22"/>
          <w:szCs w:val="22"/>
        </w:rPr>
        <w:t>сети «Интернет»:</w:t>
      </w:r>
    </w:p>
    <w:p>
      <w:pPr>
        <w:pStyle w:val="Normal"/>
        <w:ind w:start="284" w:end="0"/>
        <w:jc w:val="both"/>
        <w:rPr>
          <w:rStyle w:val="Hyperlink"/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- Единой электронной торговой площадки (АО «ЕЭТП») </w:t>
      </w:r>
      <w:hyperlink r:id="rId2">
        <w:r>
          <w:rPr>
            <w:rStyle w:val="Hyperlink"/>
            <w:bCs/>
            <w:sz w:val="22"/>
            <w:szCs w:val="22"/>
          </w:rPr>
          <w:t>https://</w:t>
        </w:r>
        <w:r>
          <w:rPr>
            <w:rStyle w:val="Hyperlink"/>
            <w:bCs/>
            <w:sz w:val="22"/>
            <w:szCs w:val="22"/>
            <w:lang w:val="en-US"/>
          </w:rPr>
          <w:t>com</w:t>
        </w:r>
        <w:r>
          <w:rPr>
            <w:rStyle w:val="Hyperlink"/>
            <w:bCs/>
            <w:sz w:val="22"/>
            <w:szCs w:val="22"/>
          </w:rPr>
          <w:t>.roseltorg.ru /</w:t>
        </w:r>
      </w:hyperlink>
      <w:r>
        <w:rPr>
          <w:bCs/>
          <w:sz w:val="22"/>
          <w:szCs w:val="22"/>
        </w:rPr>
        <w:t xml:space="preserve"> </w:t>
      </w:r>
    </w:p>
    <w:p>
      <w:pPr>
        <w:pStyle w:val="Normal"/>
        <w:tabs>
          <w:tab w:val="clear" w:pos="708"/>
          <w:tab w:val="left" w:pos="1134" w:leader="none"/>
        </w:tabs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- официальном сайте Единой информационной системы: </w:t>
      </w:r>
      <w:hyperlink r:id="rId3">
        <w:r>
          <w:rPr>
            <w:rStyle w:val="Hyperlink"/>
            <w:sz w:val="22"/>
            <w:szCs w:val="22"/>
            <w:lang w:val="en-US"/>
          </w:rPr>
          <w:t>http</w:t>
        </w:r>
        <w:r>
          <w:rPr>
            <w:rStyle w:val="Hyperlink"/>
            <w:sz w:val="22"/>
            <w:szCs w:val="22"/>
          </w:rPr>
          <w:t>://</w:t>
        </w:r>
        <w:r>
          <w:rPr>
            <w:rStyle w:val="Hyperlink"/>
            <w:sz w:val="22"/>
            <w:szCs w:val="22"/>
            <w:lang w:val="en-US"/>
          </w:rPr>
          <w:t>zakupki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gov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ru</w:t>
        </w:r>
      </w:hyperlink>
    </w:p>
    <w:p>
      <w:pPr>
        <w:pStyle w:val="Normal"/>
        <w:tabs>
          <w:tab w:val="clear" w:pos="708"/>
          <w:tab w:val="left" w:pos="1134" w:leader="none"/>
        </w:tabs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>2.</w:t>
      </w:r>
      <w:r>
        <w:rPr>
          <w:sz w:val="22"/>
          <w:szCs w:val="22"/>
        </w:rPr>
        <w:t xml:space="preserve"> Подведение итогов запроса котировок в электронной форме проводилось единой комиссией по осуществлению закупок товаров, работ, услуг для нужд ФБУЗ «</w:t>
      </w:r>
      <w:r>
        <w:rPr>
          <w:sz w:val="22"/>
          <w:szCs w:val="22"/>
          <w:lang w:bidi="en-US"/>
        </w:rPr>
        <w:t>Центр гигиены и эпидемиологии в Магаданской области</w:t>
      </w:r>
      <w:r>
        <w:rPr>
          <w:sz w:val="22"/>
          <w:szCs w:val="22"/>
        </w:rPr>
        <w:t xml:space="preserve">», в период с 09 часов 01 минуты (время магаданское) </w:t>
      </w:r>
      <w:r>
        <w:rPr>
          <w:color w:val="000000"/>
          <w:sz w:val="22"/>
          <w:szCs w:val="22"/>
        </w:rPr>
        <w:t>«15» декабря</w:t>
      </w:r>
      <w:r>
        <w:rPr>
          <w:sz w:val="22"/>
          <w:szCs w:val="22"/>
        </w:rPr>
        <w:t xml:space="preserve"> 2025г. до 10 часов 30 минут (время магаданское) </w:t>
      </w:r>
      <w:r>
        <w:rPr>
          <w:color w:val="000000"/>
          <w:sz w:val="22"/>
          <w:szCs w:val="22"/>
        </w:rPr>
        <w:t>«15» декабря</w:t>
      </w:r>
      <w:r>
        <w:rPr>
          <w:sz w:val="22"/>
          <w:szCs w:val="22"/>
        </w:rPr>
        <w:t xml:space="preserve"> 2025г. по адресу: 685000, Магаданская область, г. Магадан, ул. Якутская, д. 53 корп. 1., консультационно-правовой отдел.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3.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Состав комиссии: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комиссии:</w:t>
        <w:tab/>
        <w:tab/>
        <w:tab/>
        <w:t>Ю.С. Наткина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>Заместитель председателя комиссии:</w:t>
        <w:tab/>
        <w:t>Н.Г. Будаева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Секретарь комиссии с правом голоса: </w:t>
        <w:tab/>
        <w:t>К.А. Печалкина</w:t>
      </w:r>
    </w:p>
    <w:p>
      <w:pPr>
        <w:pStyle w:val="Normal"/>
        <w:ind w:start="284" w:end="0"/>
        <w:jc w:val="both"/>
        <w:rPr/>
      </w:pPr>
      <w:r>
        <w:rPr>
          <w:sz w:val="22"/>
          <w:szCs w:val="22"/>
        </w:rPr>
        <w:t>Члены комиссии: М.А. Долецкая, А.В. Гагин, Н.В. Агапова. Комиссия правомочна.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>4.</w:t>
      </w:r>
      <w:r>
        <w:rPr>
          <w:sz w:val="22"/>
          <w:szCs w:val="22"/>
        </w:rPr>
        <w:t xml:space="preserve"> По окончании срока подачи заявок до 09 час. 00 мин. (время магаданское) </w:t>
      </w:r>
      <w:r>
        <w:rPr>
          <w:color w:val="000000"/>
          <w:sz w:val="22"/>
          <w:szCs w:val="22"/>
        </w:rPr>
        <w:t>«15» декабря</w:t>
      </w:r>
      <w:r>
        <w:rPr>
          <w:sz w:val="22"/>
          <w:szCs w:val="22"/>
        </w:rPr>
        <w:t xml:space="preserve"> 2025г. на участие в запросе котировок в электронной форме были поданы </w:t>
      </w:r>
      <w:r>
        <w:rPr>
          <w:b/>
          <w:sz w:val="22"/>
          <w:szCs w:val="22"/>
        </w:rPr>
        <w:t>2 (две) заявки</w:t>
      </w:r>
      <w:r>
        <w:rPr>
          <w:sz w:val="22"/>
          <w:szCs w:val="22"/>
        </w:rPr>
        <w:t xml:space="preserve"> от участников закупки</w:t>
      </w:r>
      <w:r>
        <w:rPr>
          <w:b/>
          <w:sz w:val="22"/>
          <w:szCs w:val="22"/>
        </w:rPr>
        <w:t>:</w:t>
      </w:r>
    </w:p>
    <w:tbl>
      <w:tblPr>
        <w:tblW w:w="4750" w:type="pct"/>
        <w:jc w:val="start"/>
        <w:tblInd w:w="456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1640"/>
        <w:gridCol w:w="1865"/>
        <w:gridCol w:w="2385"/>
        <w:gridCol w:w="4210"/>
      </w:tblGrid>
      <w:tr>
        <w:trPr/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№ </w:t>
            </w:r>
            <w:r>
              <w:rPr>
                <w:b/>
                <w:sz w:val="22"/>
                <w:szCs w:val="22"/>
              </w:rPr>
              <w:t>по ранжированию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Номер заявки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Ценовые предложения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(с учетом НДС)</w:t>
            </w:r>
          </w:p>
        </w:tc>
      </w:tr>
      <w:tr>
        <w:trPr/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10.12.2025 06:00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(MSK +03:00)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sz w:val="22"/>
                <w:szCs w:val="22"/>
              </w:rPr>
              <w:t xml:space="preserve">115 000 рублей 00 копеек </w:t>
            </w:r>
          </w:p>
          <w:p>
            <w:pPr>
              <w:pStyle w:val="Normal"/>
              <w:widowControl w:val="false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(НДС не облагается)</w:t>
            </w:r>
          </w:p>
        </w:tc>
      </w:tr>
      <w:tr>
        <w:trPr>
          <w:trHeight w:val="325" w:hRule="atLeast"/>
        </w:trPr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10.12.2025 06:00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(MSK +03:00)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123 900 рублей 00 копеек</w:t>
            </w:r>
          </w:p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sz w:val="22"/>
                <w:szCs w:val="22"/>
              </w:rPr>
              <w:t>(включая НДС 5%)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hd w:fill="FFFFFF" w:val="clear"/>
        <w:tabs>
          <w:tab w:val="clear" w:pos="708"/>
          <w:tab w:val="left" w:pos="567" w:leader="none"/>
          <w:tab w:val="left" w:pos="709" w:leader="none"/>
        </w:tabs>
        <w:autoSpaceDE w:val="false"/>
        <w:ind w:start="284" w:end="0"/>
        <w:jc w:val="both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hd w:fill="FFFFFF" w:val="clear"/>
        <w:tabs>
          <w:tab w:val="clear" w:pos="708"/>
          <w:tab w:val="left" w:pos="567" w:leader="none"/>
          <w:tab w:val="left" w:pos="709" w:leader="none"/>
        </w:tabs>
        <w:autoSpaceDE w:val="false"/>
        <w:ind w:start="284" w:end="0"/>
        <w:jc w:val="both"/>
        <w:outlineLvl w:val="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5</w:t>
      </w:r>
      <w:r>
        <w:rPr>
          <w:b/>
          <w:sz w:val="22"/>
          <w:szCs w:val="22"/>
          <w:lang w:val="en-US"/>
        </w:rPr>
        <w:t xml:space="preserve">. </w:t>
      </w:r>
      <w:r>
        <w:rPr>
          <w:sz w:val="22"/>
          <w:szCs w:val="22"/>
        </w:rPr>
        <w:t>Единой комиссией были рассмотрены направленные оператором торговой площадки заявки следующих участников запроса котировок в электронной форме ранжированные по мере убывания с указанием порядковых номеров заявок, на соответствие требованиям, установленным документацией о запросе котировок в электронной форме, а также содержащиеся в едином реестре участников закупок, получивших аккредитацию на электронной площадке, сведения об участниках, подавших заявки на участие в закупке, и приняла следующие решение</w:t>
      </w:r>
      <w:r>
        <w:rPr>
          <w:color w:val="000000"/>
          <w:sz w:val="22"/>
          <w:szCs w:val="22"/>
          <w:lang w:val="en-US"/>
        </w:rPr>
        <w:t>:</w:t>
      </w:r>
    </w:p>
    <w:p>
      <w:pPr>
        <w:pStyle w:val="Normal"/>
        <w:widowControl w:val="false"/>
        <w:tabs>
          <w:tab w:val="clear" w:pos="708"/>
          <w:tab w:val="left" w:pos="567" w:leader="none"/>
          <w:tab w:val="left" w:pos="709" w:leader="none"/>
        </w:tabs>
        <w:autoSpaceDE w:val="false"/>
        <w:ind w:start="284" w:end="0"/>
        <w:jc w:val="both"/>
        <w:rPr>
          <w:bCs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5.1.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kern w:val="2"/>
          <w:sz w:val="22"/>
          <w:szCs w:val="22"/>
        </w:rPr>
        <w:t>Участник</w:t>
      </w:r>
      <w:r>
        <w:rPr>
          <w:bCs/>
          <w:sz w:val="22"/>
          <w:szCs w:val="22"/>
        </w:rPr>
        <w:t>,</w:t>
      </w:r>
      <w:r>
        <w:rPr>
          <w:bCs/>
          <w:kern w:val="2"/>
          <w:sz w:val="22"/>
          <w:szCs w:val="22"/>
        </w:rPr>
        <w:t xml:space="preserve"> </w:t>
      </w:r>
      <w:r>
        <w:rPr>
          <w:bCs/>
          <w:sz w:val="22"/>
          <w:szCs w:val="22"/>
        </w:rPr>
        <w:t>номер заявки</w:t>
      </w:r>
      <w:r>
        <w:rPr>
          <w:bCs/>
          <w:kern w:val="2"/>
          <w:sz w:val="22"/>
          <w:szCs w:val="22"/>
        </w:rPr>
        <w:t xml:space="preserve"> </w:t>
      </w:r>
      <w:r>
        <w:rPr>
          <w:bCs/>
          <w:sz w:val="22"/>
          <w:szCs w:val="22"/>
        </w:rPr>
        <w:t>участника закупки</w:t>
      </w:r>
      <w:r>
        <w:rPr>
          <w:bCs/>
          <w:kern w:val="2"/>
          <w:sz w:val="22"/>
          <w:szCs w:val="22"/>
        </w:rPr>
        <w:t xml:space="preserve"> №</w:t>
      </w:r>
      <w:r>
        <w:rPr>
          <w:bCs/>
          <w:sz w:val="22"/>
          <w:szCs w:val="22"/>
        </w:rPr>
        <w:t>1:</w:t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4"/>
        <w:gridCol w:w="1985"/>
        <w:gridCol w:w="6379"/>
      </w:tblGrid>
      <w:tr>
        <w:trPr>
          <w:tblHeader w:val="true"/>
          <w:trHeight w:val="478" w:hRule="atLeast"/>
          <w:cantSplit w:val="true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b/>
                <w:sz w:val="22"/>
                <w:szCs w:val="22"/>
              </w:rPr>
              <w:t>Состав комиссии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53" w:start="709" w:end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Решение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020" w:start="709" w:end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Обоснование решения</w:t>
            </w:r>
          </w:p>
        </w:tc>
      </w:tr>
      <w:tr>
        <w:trPr>
          <w:trHeight w:val="9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Ю.С. Наткина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9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Н.В. Будаева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345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К.А. Печалкина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Н.В. Агапова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М.А Долецкая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А.В. Гагин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clear" w:pos="708"/>
          <w:tab w:val="left" w:pos="567" w:leader="none"/>
          <w:tab w:val="left" w:pos="709" w:leader="none"/>
        </w:tabs>
        <w:autoSpaceDE w:val="false"/>
        <w:ind w:start="284" w:end="0"/>
        <w:jc w:val="both"/>
        <w:rPr>
          <w:sz w:val="22"/>
          <w:szCs w:val="22"/>
        </w:rPr>
      </w:pPr>
      <w:r>
        <w:rPr>
          <w:b/>
          <w:color w:val="000000"/>
          <w:sz w:val="22"/>
          <w:szCs w:val="22"/>
        </w:rPr>
        <w:t>5.2.</w:t>
      </w:r>
      <w:r>
        <w:rPr>
          <w:color w:val="000000"/>
          <w:sz w:val="22"/>
          <w:szCs w:val="22"/>
        </w:rPr>
        <w:t xml:space="preserve"> </w:t>
      </w:r>
      <w:r>
        <w:rPr>
          <w:bCs/>
          <w:kern w:val="2"/>
          <w:sz w:val="22"/>
          <w:szCs w:val="22"/>
        </w:rPr>
        <w:t>Участник</w:t>
      </w:r>
      <w:r>
        <w:rPr>
          <w:sz w:val="22"/>
          <w:szCs w:val="22"/>
        </w:rPr>
        <w:t>,</w:t>
      </w:r>
      <w:r>
        <w:rPr>
          <w:bCs/>
          <w:kern w:val="2"/>
          <w:sz w:val="22"/>
          <w:szCs w:val="22"/>
        </w:rPr>
        <w:t xml:space="preserve"> </w:t>
      </w:r>
      <w:r>
        <w:rPr>
          <w:sz w:val="22"/>
          <w:szCs w:val="22"/>
        </w:rPr>
        <w:t>номер заявки</w:t>
      </w:r>
      <w:r>
        <w:rPr>
          <w:bCs/>
          <w:kern w:val="2"/>
          <w:sz w:val="22"/>
          <w:szCs w:val="22"/>
        </w:rPr>
        <w:t xml:space="preserve"> </w:t>
      </w:r>
      <w:r>
        <w:rPr>
          <w:bCs/>
          <w:sz w:val="22"/>
          <w:szCs w:val="22"/>
        </w:rPr>
        <w:t>участника закупки</w:t>
      </w:r>
      <w:r>
        <w:rPr>
          <w:bCs/>
          <w:kern w:val="2"/>
          <w:sz w:val="22"/>
          <w:szCs w:val="22"/>
        </w:rPr>
        <w:t xml:space="preserve"> №</w:t>
      </w:r>
      <w:r>
        <w:rPr>
          <w:sz w:val="22"/>
          <w:szCs w:val="22"/>
        </w:rPr>
        <w:t>2:</w:t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4"/>
        <w:gridCol w:w="1985"/>
        <w:gridCol w:w="6379"/>
      </w:tblGrid>
      <w:tr>
        <w:trPr>
          <w:tblHeader w:val="true"/>
          <w:trHeight w:val="478" w:hRule="atLeast"/>
          <w:cantSplit w:val="true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Состав комиссии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709" w:start="709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Решение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171" w:start="709" w:end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Обоснование решения</w:t>
            </w:r>
          </w:p>
        </w:tc>
      </w:tr>
      <w:tr>
        <w:trPr>
          <w:trHeight w:val="9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Ю.С. Наткина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9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Н.В. Будаева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9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К.А. Печалкина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Н.В. Агапова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М.А Долецкая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А.В. Гагин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>
          <w:iCs/>
          <w:sz w:val="22"/>
          <w:szCs w:val="22"/>
          <w:shd w:fill="FFFFFF" w:val="clear"/>
        </w:rPr>
      </w:pPr>
      <w:r>
        <w:rPr>
          <w:sz w:val="22"/>
          <w:szCs w:val="22"/>
        </w:rPr>
        <w:t xml:space="preserve">Члены Единой комиссии по результатам подведения итогов запроса котировок в электронной форме, приняли решение признать победителем закупки участника закупки с номером заявки 1, предложившем цену договора </w:t>
      </w:r>
      <w:r>
        <w:rPr>
          <w:b/>
          <w:sz w:val="22"/>
          <w:szCs w:val="22"/>
        </w:rPr>
        <w:t xml:space="preserve">115 000 </w:t>
      </w:r>
      <w:r>
        <w:rPr>
          <w:b/>
          <w:bCs/>
          <w:sz w:val="22"/>
          <w:szCs w:val="22"/>
        </w:rPr>
        <w:t>(сто пятнадцать тысяч) рублей 00 коп</w:t>
      </w:r>
      <w:r>
        <w:rPr>
          <w:b/>
          <w:iCs/>
          <w:sz w:val="22"/>
          <w:szCs w:val="22"/>
          <w:shd w:fill="FFFFFF" w:val="clear"/>
        </w:rPr>
        <w:t>еек, НДС не облагается</w:t>
      </w:r>
      <w:r>
        <w:rPr>
          <w:iCs/>
          <w:sz w:val="22"/>
          <w:szCs w:val="22"/>
          <w:shd w:fill="FFFFFF" w:val="clear"/>
        </w:rPr>
        <w:t>.</w:t>
      </w:r>
    </w:p>
    <w:p>
      <w:pPr>
        <w:pStyle w:val="Normal"/>
        <w:ind w:start="284" w:end="0"/>
        <w:jc w:val="both"/>
        <w:rPr>
          <w:iCs/>
          <w:sz w:val="22"/>
          <w:szCs w:val="22"/>
          <w:shd w:fill="FFFFFF" w:val="clear"/>
        </w:rPr>
      </w:pPr>
      <w:r>
        <w:rPr>
          <w:iCs/>
          <w:sz w:val="22"/>
          <w:szCs w:val="22"/>
          <w:shd w:fill="FFFFFF" w:val="clear"/>
        </w:rPr>
      </w:r>
    </w:p>
    <w:p>
      <w:pPr>
        <w:pStyle w:val="Style22"/>
        <w:widowControl w:val="false"/>
        <w:numPr>
          <w:ilvl w:val="0"/>
          <w:numId w:val="2"/>
        </w:numPr>
        <w:tabs>
          <w:tab w:val="clear" w:pos="708"/>
          <w:tab w:val="left" w:pos="567" w:leader="none"/>
        </w:tabs>
        <w:autoSpaceDE w:val="false"/>
        <w:spacing w:before="0" w:after="0"/>
        <w:ind w:hanging="0" w:start="284" w:end="0"/>
        <w:contextualSpacing/>
        <w:jc w:val="both"/>
        <w:rPr>
          <w:b/>
          <w:sz w:val="22"/>
          <w:szCs w:val="22"/>
        </w:rPr>
      </w:pPr>
      <w:r>
        <w:rPr>
          <w:iCs/>
          <w:sz w:val="22"/>
          <w:szCs w:val="22"/>
          <w:shd w:fill="FFFFFF" w:val="clear"/>
        </w:rPr>
        <w:t xml:space="preserve">Договор заключается на условиях, установленных в извещении </w:t>
      </w:r>
      <w:r>
        <w:rPr>
          <w:bCs/>
          <w:sz w:val="22"/>
          <w:szCs w:val="22"/>
        </w:rPr>
        <w:t xml:space="preserve">о </w:t>
      </w:r>
      <w:r>
        <w:rPr>
          <w:sz w:val="22"/>
          <w:szCs w:val="22"/>
        </w:rPr>
        <w:t>проведении запроса котировок в электронной форме, и по цене, указанной в заявке участника №1.</w:t>
      </w:r>
    </w:p>
    <w:p>
      <w:pPr>
        <w:pStyle w:val="Style22"/>
        <w:widowControl w:val="false"/>
        <w:tabs>
          <w:tab w:val="clear" w:pos="708"/>
          <w:tab w:val="left" w:pos="567" w:leader="none"/>
        </w:tabs>
        <w:autoSpaceDE w:val="false"/>
        <w:spacing w:before="0" w:after="0"/>
        <w:ind w:start="284" w:end="0"/>
        <w:contextualSpacing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Style22"/>
        <w:widowControl w:val="false"/>
        <w:numPr>
          <w:ilvl w:val="0"/>
          <w:numId w:val="2"/>
        </w:numPr>
        <w:tabs>
          <w:tab w:val="clear" w:pos="708"/>
          <w:tab w:val="left" w:pos="567" w:leader="none"/>
        </w:tabs>
        <w:autoSpaceDE w:val="false"/>
        <w:spacing w:before="0" w:after="0"/>
        <w:ind w:hanging="0" w:start="284" w:end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Настоящий протокол подведения итогов запроса котировок в электронной форме </w:t>
      </w:r>
      <w:r>
        <w:rPr>
          <w:b/>
          <w:sz w:val="22"/>
          <w:szCs w:val="22"/>
        </w:rPr>
        <w:t>№32515480877 от «15» декабря 2025 года</w:t>
      </w:r>
      <w:r>
        <w:rPr>
          <w:sz w:val="22"/>
          <w:szCs w:val="22"/>
        </w:rPr>
        <w:t xml:space="preserve"> подлежит размещению на электронной торговой площадке в информационно-телекоммуникационной сети «Интернет» на сайте</w:t>
      </w:r>
      <w:r>
        <w:rPr>
          <w:b/>
          <w:sz w:val="22"/>
          <w:szCs w:val="22"/>
        </w:rPr>
        <w:t xml:space="preserve"> </w:t>
      </w:r>
      <w:hyperlink r:id="rId4">
        <w:r>
          <w:rPr>
            <w:rStyle w:val="Hyperlink"/>
            <w:bCs/>
            <w:sz w:val="22"/>
            <w:szCs w:val="22"/>
          </w:rPr>
          <w:t>https://</w:t>
        </w:r>
        <w:r>
          <w:rPr>
            <w:rStyle w:val="Hyperlink"/>
            <w:bCs/>
            <w:sz w:val="22"/>
            <w:szCs w:val="22"/>
            <w:lang w:val="en-US"/>
          </w:rPr>
          <w:t>com</w:t>
        </w:r>
        <w:r>
          <w:rPr>
            <w:rStyle w:val="Hyperlink"/>
            <w:bCs/>
            <w:sz w:val="22"/>
            <w:szCs w:val="22"/>
          </w:rPr>
          <w:t>.roseltorg.ru /</w:t>
        </w:r>
      </w:hyperlink>
      <w:r>
        <w:rPr>
          <w:sz w:val="22"/>
          <w:szCs w:val="22"/>
        </w:rPr>
        <w:t>.</w:t>
      </w:r>
    </w:p>
    <w:p>
      <w:pPr>
        <w:pStyle w:val="Style22"/>
        <w:widowControl w:val="false"/>
        <w:tabs>
          <w:tab w:val="clear" w:pos="708"/>
          <w:tab w:val="left" w:pos="567" w:leader="none"/>
        </w:tabs>
        <w:autoSpaceDE w:val="false"/>
        <w:spacing w:before="0" w:after="0"/>
        <w:ind w:start="284" w:end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2"/>
        <w:widowControl w:val="false"/>
        <w:numPr>
          <w:ilvl w:val="0"/>
          <w:numId w:val="2"/>
        </w:numPr>
        <w:tabs>
          <w:tab w:val="clear" w:pos="708"/>
          <w:tab w:val="left" w:pos="567" w:leader="none"/>
        </w:tabs>
        <w:autoSpaceDE w:val="false"/>
        <w:spacing w:before="0" w:after="0"/>
        <w:ind w:hanging="0" w:start="284" w:end="0"/>
        <w:contextualSpacing/>
        <w:jc w:val="both"/>
        <w:rPr>
          <w:sz w:val="22"/>
          <w:szCs w:val="22"/>
        </w:rPr>
      </w:pPr>
      <w:r>
        <w:rPr>
          <w:b/>
          <w:sz w:val="22"/>
          <w:szCs w:val="22"/>
        </w:rPr>
        <w:t>Протокол подписан всеми присутствующими членами комиссии.</w:t>
      </w:r>
    </w:p>
    <w:p>
      <w:pPr>
        <w:pStyle w:val="Style22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956" w:type="dxa"/>
        <w:jc w:val="start"/>
        <w:tblInd w:w="-21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6"/>
        <w:gridCol w:w="5010"/>
      </w:tblGrid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447" w:hRule="atLeast"/>
        </w:trPr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26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40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Style22"/>
        <w:widowControl w:val="false"/>
        <w:tabs>
          <w:tab w:val="clear" w:pos="708"/>
          <w:tab w:val="left" w:pos="567" w:leader="none"/>
        </w:tabs>
        <w:autoSpaceDE w:val="false"/>
        <w:spacing w:before="0" w:after="0"/>
        <w:ind w:start="284" w:end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2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956" w:type="dxa"/>
        <w:jc w:val="start"/>
        <w:tblInd w:w="-21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6"/>
        <w:gridCol w:w="5010"/>
      </w:tblGrid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447" w:hRule="atLeast"/>
        </w:trPr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26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40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9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1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Style22"/>
        <w:widowControl w:val="false"/>
        <w:tabs>
          <w:tab w:val="clear" w:pos="708"/>
          <w:tab w:val="left" w:pos="567" w:leader="none"/>
        </w:tabs>
        <w:autoSpaceDE w:val="false"/>
        <w:spacing w:before="0" w:after="0"/>
        <w:ind w:start="0" w:end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567" w:right="707" w:gutter="0" w:header="0" w:top="426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b/>
      <w:sz w:val="24"/>
    </w:rPr>
  </w:style>
  <w:style w:type="character" w:styleId="WW8Num6z1">
    <w:name w:val="WW8Num6z1"/>
    <w:qFormat/>
    <w:rPr>
      <w:b/>
    </w:rPr>
  </w:style>
  <w:style w:type="character" w:styleId="WW8Num6z2">
    <w:name w:val="WW8Num6z2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b/>
    </w:rPr>
  </w:style>
  <w:style w:type="character" w:styleId="WW8Num8z2">
    <w:name w:val="WW8Num8z2"/>
    <w:qFormat/>
    <w:rPr/>
  </w:style>
  <w:style w:type="character" w:styleId="WW8Num9z0">
    <w:name w:val="WW8Num9z0"/>
    <w:qFormat/>
    <w:rPr>
      <w:color w:val="000000"/>
    </w:rPr>
  </w:style>
  <w:style w:type="character" w:styleId="WW8Num11z0">
    <w:name w:val="WW8Num11z0"/>
    <w:qFormat/>
    <w:rPr/>
  </w:style>
  <w:style w:type="character" w:styleId="WW8Num13z0">
    <w:name w:val="WW8Num13z0"/>
    <w:qFormat/>
    <w:rPr>
      <w:b/>
      <w:sz w:val="24"/>
    </w:rPr>
  </w:style>
  <w:style w:type="character" w:styleId="WW8Num13z1">
    <w:name w:val="WW8Num13z1"/>
    <w:qFormat/>
    <w:rPr>
      <w:b/>
    </w:rPr>
  </w:style>
  <w:style w:type="character" w:styleId="WW8Num13z2">
    <w:name w:val="WW8Num13z2"/>
    <w:qFormat/>
    <w:rPr/>
  </w:style>
  <w:style w:type="character" w:styleId="WW8Num14z0">
    <w:name w:val="WW8Num14z0"/>
    <w:qFormat/>
    <w:rPr>
      <w:b w:val="false"/>
    </w:rPr>
  </w:style>
  <w:style w:type="character" w:styleId="WW8Num15z0">
    <w:name w:val="WW8Num15z0"/>
    <w:qFormat/>
    <w:rPr>
      <w:b/>
      <w:sz w:val="24"/>
    </w:rPr>
  </w:style>
  <w:style w:type="character" w:styleId="WW8Num15z1">
    <w:name w:val="WW8Num15z1"/>
    <w:qFormat/>
    <w:rPr>
      <w:b/>
    </w:rPr>
  </w:style>
  <w:style w:type="character" w:styleId="WW8Num15z2">
    <w:name w:val="WW8Num15z2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b w:val="false"/>
    </w:rPr>
  </w:style>
  <w:style w:type="character" w:styleId="WW8Num19z0">
    <w:name w:val="WW8Num19z0"/>
    <w:qFormat/>
    <w:rPr>
      <w:b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/>
      <w:sz w:val="24"/>
    </w:rPr>
  </w:style>
  <w:style w:type="character" w:styleId="WW8Num23z1">
    <w:name w:val="WW8Num23z1"/>
    <w:qFormat/>
    <w:rPr>
      <w:b/>
    </w:rPr>
  </w:style>
  <w:style w:type="character" w:styleId="WW8Num23z2">
    <w:name w:val="WW8Num23z2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30z0">
    <w:name w:val="WW8Num30z0"/>
    <w:qFormat/>
    <w:rPr>
      <w:b/>
      <w:sz w:val="24"/>
    </w:rPr>
  </w:style>
  <w:style w:type="character" w:styleId="WW8Num30z1">
    <w:name w:val="WW8Num30z1"/>
    <w:qFormat/>
    <w:rPr/>
  </w:style>
  <w:style w:type="character" w:styleId="WW8Num31z0">
    <w:name w:val="WW8Num31z0"/>
    <w:qFormat/>
    <w:rPr>
      <w:b w:val="false"/>
    </w:rPr>
  </w:style>
  <w:style w:type="character" w:styleId="Style11">
    <w:name w:val="Основной шрифт абзаца"/>
    <w:qFormat/>
    <w:rPr/>
  </w:style>
  <w:style w:type="character" w:styleId="2">
    <w:name w:val="Основной текст с отступом 2 Знак"/>
    <w:basedOn w:val="Style11"/>
    <w:qFormat/>
    <w:rPr/>
  </w:style>
  <w:style w:type="character" w:styleId="Hyperlink">
    <w:name w:val="Hyperlink"/>
    <w:rPr>
      <w:color w:val="0000FF"/>
      <w:u w:val="single"/>
    </w:rPr>
  </w:style>
  <w:style w:type="character" w:styleId="4">
    <w:name w:val="Заголовок 4 Знак"/>
    <w:qFormat/>
    <w:rPr>
      <w:b/>
      <w:bCs/>
      <w:sz w:val="28"/>
      <w:szCs w:val="28"/>
    </w:rPr>
  </w:style>
  <w:style w:type="character" w:styleId="Style12">
    <w:name w:val="Основной текст с отступом Знак"/>
    <w:qFormat/>
    <w:rPr>
      <w:sz w:val="24"/>
      <w:shd w:fill="FFFFFF" w:val="clear"/>
    </w:rPr>
  </w:style>
  <w:style w:type="character" w:styleId="Style13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Style14">
    <w:name w:val="Название Знак"/>
    <w:qFormat/>
    <w:rPr>
      <w:b/>
      <w:bCs/>
      <w:sz w:val="28"/>
      <w:szCs w:val="24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basedOn w:val="Style11"/>
    <w:qFormat/>
    <w:rPr/>
  </w:style>
  <w:style w:type="character" w:styleId="Style17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8"/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заголовок 11"/>
    <w:basedOn w:val="Normal"/>
    <w:next w:val="Normal"/>
    <w:qFormat/>
    <w:pPr>
      <w:keepNext w:val="true"/>
      <w:jc w:val="center"/>
    </w:pPr>
    <w:rPr>
      <w:sz w:val="24"/>
    </w:rPr>
  </w:style>
  <w:style w:type="paragraph" w:styleId="Style18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Indent">
    <w:name w:val="Body Text Indent"/>
    <w:basedOn w:val="Normal"/>
    <w:pPr>
      <w:widowControl w:val="false"/>
      <w:shd w:fill="FFFFFF" w:val="clear"/>
      <w:autoSpaceDE w:val="false"/>
      <w:ind w:hanging="1843" w:start="2410" w:end="0"/>
    </w:pPr>
    <w:rPr>
      <w:sz w:val="24"/>
      <w:lang w:val="en-US"/>
    </w:rPr>
  </w:style>
  <w:style w:type="paragraph" w:styleId="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1">
    <w:name w:val="1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0">
    <w:name w:val="Стиль"/>
    <w:basedOn w:val="Normal"/>
    <w:qFormat/>
    <w:pPr>
      <w:widowControl w:val="false"/>
      <w:spacing w:lineRule="exact" w:line="240" w:before="0" w:after="160"/>
      <w:jc w:val="end"/>
    </w:pPr>
    <w:rPr>
      <w:lang w:val="en-GB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Style21">
    <w:name w:val="Обычный (веб)"/>
    <w:basedOn w:val="Normal"/>
    <w:qFormat/>
    <w:pPr>
      <w:spacing w:before="280" w:after="280"/>
    </w:pPr>
    <w:rPr>
      <w:rFonts w:ascii="Arial Unicode MS" w:hAnsi="Arial Unicode MS" w:eastAsia="Arial Unicode MS" w:cs="Arial Unicode MS"/>
      <w:color w:val="000000"/>
      <w:sz w:val="24"/>
      <w:szCs w:val="24"/>
    </w:rPr>
  </w:style>
  <w:style w:type="paragraph" w:styleId="Style22">
    <w:name w:val="Абзац списка"/>
    <w:basedOn w:val="Normal"/>
    <w:qFormat/>
    <w:pPr>
      <w:ind w:hanging="0" w:start="708" w:end="0"/>
    </w:pPr>
    <w:rPr/>
  </w:style>
  <w:style w:type="paragraph" w:styleId="Style23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Style24">
    <w:name w:val="Текст примечания"/>
    <w:basedOn w:val="Normal"/>
    <w:qFormat/>
    <w:pPr/>
    <w:rPr/>
  </w:style>
  <w:style w:type="paragraph" w:styleId="Style25">
    <w:name w:val="Тема примечания"/>
    <w:basedOn w:val="Style24"/>
    <w:next w:val="Style24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2019-02-13T05:19:00Z</dcterms:created>
  <dc:creator>IGZ</dc:creator>
  <dc:description/>
  <cp:keywords/>
  <dc:language>en-US</dc:language>
  <cp:lastModifiedBy>Ксения Алексеевна Печалкина</cp:lastModifiedBy>
  <cp:lastPrinted>2025-12-15T10:53:00Z</cp:lastPrinted>
  <dcterms:modified xsi:type="dcterms:W3CDTF">2025-12-14T23:53:00Z</dcterms:modified>
  <cp:revision>548</cp:revision>
  <dc:subject/>
  <dc:title>ПРИЛОЖЕНИЕ 11</dc:title>
</cp:coreProperties>
</file>