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numPr>
          <w:ilvl w:val="0"/>
          <w:numId w:val="0"/>
        </w:numPr>
        <w:tabs>
          <w:tab w:val="clear" w:pos="4677"/>
          <w:tab w:val="clear" w:pos="9355"/>
        </w:tabs>
        <w:ind w:end="-1"/>
        <w:jc w:val="center"/>
        <w:outlineLvl w:val="0"/>
        <w:rPr>
          <w:b/>
          <w:lang w:val="en-US"/>
        </w:rPr>
      </w:pPr>
      <w:r>
        <w:rPr>
          <w:b/>
        </w:rPr>
        <w:t xml:space="preserve">ПРОТОКОЛ № </w:t>
      </w:r>
      <w:r>
        <w:rPr>
          <w:b/>
          <w:lang w:val="en-US"/>
        </w:rPr>
        <w:t>2</w:t>
      </w:r>
      <w:r>
        <w:rPr>
          <w:b/>
        </w:rPr>
        <w:t>/</w:t>
      </w:r>
      <w:r>
        <w:fldChar w:fldCharType="begin"/>
      </w:r>
      <w:r>
        <w:rPr>
          <w:rStyle w:val="Hyperlink"/>
          <w:b/>
        </w:rPr>
        <w:instrText xml:space="preserve"> HYPERLINK "https://223.rts-tender.ru/customer/lk/auctions/view/3052811" \l "1"</w:instrText>
      </w:r>
      <w:r>
        <w:rPr>
          <w:rStyle w:val="Hyperlink"/>
          <w:b/>
        </w:rPr>
        <w:fldChar w:fldCharType="separate"/>
      </w:r>
      <w:r>
        <w:rPr>
          <w:rStyle w:val="Hyperlink"/>
          <w:b/>
        </w:rPr>
        <w:t>3332516</w:t>
      </w:r>
      <w:r>
        <w:rPr>
          <w:rStyle w:val="Hyperlink"/>
          <w:b/>
        </w:rPr>
        <w:fldChar w:fldCharType="end"/>
      </w:r>
      <w:r>
        <w:rPr>
          <w:b/>
        </w:rPr>
        <w:t>/ПРЗК/2025/М1/ЗК/</w:t>
      </w:r>
      <w:r>
        <w:rPr>
          <w:b/>
          <w:lang w:val="en-US"/>
        </w:rPr>
        <w:t>216</w:t>
      </w:r>
    </w:p>
    <w:p>
      <w:pPr>
        <w:pStyle w:val="Normal"/>
        <w:jc w:val="center"/>
        <w:rPr>
          <w:b/>
        </w:rPr>
      </w:pPr>
      <w:r>
        <w:rPr>
          <w:b/>
        </w:rPr>
        <w:t>Заочного заседания Закупочной комиссии по рассмотрению заявок Участников запроса предложений в электронной форме на право заключения договора на разработку ПД по титулу: «Проектно-изыскательские работы по реконструкции ПС 500 кВ Михайловская в части замены оборудования ОРУ 35 кВ (выключатели - 5 шт., разъединители - 2 шт., ТТ/ТН - 9 шт., оборудование РЗА - 7 шт.)» для нужд филиала ПАО «Россети» - Приокское ПМЭС</w:t>
      </w:r>
    </w:p>
    <w:p>
      <w:pPr>
        <w:pStyle w:val="Normal"/>
        <w:ind w:firstLine="709" w:end="0"/>
        <w:jc w:val="center"/>
        <w:rPr>
          <w:b/>
        </w:rPr>
      </w:pPr>
      <w:r>
        <w:rPr>
          <w:b/>
        </w:rPr>
      </w:r>
    </w:p>
    <w:p>
      <w:pPr>
        <w:pStyle w:val="Normal"/>
        <w:ind w:end="-1"/>
        <w:jc w:val="center"/>
        <w:rPr>
          <w:lang w:val="en-US"/>
        </w:rPr>
      </w:pPr>
      <w:r>
        <w:rPr/>
        <w:t>г. Москва                                                                                                                «</w:t>
      </w:r>
      <w:r>
        <w:rPr>
          <w:lang w:val="en-US"/>
        </w:rPr>
        <w:t>03</w:t>
      </w:r>
      <w:r>
        <w:rPr/>
        <w:t>» марта 2025г.</w:t>
      </w:r>
    </w:p>
    <w:p>
      <w:pPr>
        <w:pStyle w:val="Normal"/>
        <w:ind w:end="-1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/>
        <w:t>Настоящий запрос предложений в электронной форме проводится с использованием функционала электронной площадки «РТС Тендер» согласно Правилам работы данной системы.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0" w:leader="none"/>
        </w:tabs>
        <w:spacing w:before="120" w:after="120"/>
        <w:ind w:hanging="0" w:start="0" w:end="0"/>
        <w:rPr>
          <w:b/>
        </w:rPr>
      </w:pPr>
      <w:r>
        <w:rPr>
          <w:b/>
        </w:rPr>
        <w:t>ПОВЕСТКА ДНЯ.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567" w:leader="none"/>
        </w:tabs>
        <w:ind w:hanging="0" w:start="0" w:end="0"/>
        <w:jc w:val="both"/>
        <w:rPr/>
      </w:pPr>
      <w:r>
        <w:rPr/>
        <w:t>О рассмотрении заявок Участников.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567" w:leader="none"/>
        </w:tabs>
        <w:ind w:hanging="567" w:start="567" w:end="0"/>
        <w:rPr/>
      </w:pPr>
      <w:r>
        <w:rPr/>
        <w:t>О проведении процедуры регулирования цены (переторжки) по запросу предложений в электронной форме.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0" w:leader="none"/>
        </w:tabs>
        <w:spacing w:before="120" w:after="120"/>
        <w:ind w:hanging="0" w:start="0" w:end="0"/>
        <w:rPr>
          <w:b/>
        </w:rPr>
      </w:pPr>
      <w:r>
        <w:rPr>
          <w:b/>
          <w:caps/>
        </w:rPr>
        <w:t>Общая информация о запросе ПРЕДЛОЖЕНИЙ:</w:t>
      </w:r>
    </w:p>
    <w:p>
      <w:pPr>
        <w:pStyle w:val="Normal"/>
        <w:shd w:fill="FFFFFF" w:val="clear"/>
        <w:jc w:val="both"/>
        <w:rPr/>
      </w:pPr>
      <w:r>
        <w:rPr>
          <w:u w:val="single"/>
        </w:rPr>
        <w:t>1. Предмет запроса предложений в электронной форме</w:t>
      </w:r>
      <w:r>
        <w:rPr/>
        <w:t>: Разработка ПД по титулу: «Проектно-изыскательские работы по реконструкции ПС 500 кВ Михайловская в части замены оборудования ОРУ 35 кВ (выключатели - 5 шт., разъединители - 2 шт., ТТ/ТН - 9 шт., оборудование РЗА - 7 шт.)» для нужд филиала ПАО «Россети» - Приокское ПМЭС.</w:t>
      </w:r>
    </w:p>
    <w:p>
      <w:pPr>
        <w:pStyle w:val="Normal"/>
        <w:shd w:fill="FFFFFF" w:val="clear"/>
        <w:jc w:val="both"/>
        <w:rPr/>
      </w:pPr>
      <w:r>
        <w:rPr>
          <w:u w:val="single"/>
        </w:rPr>
        <w:t>2. Основание проведения запроса предложений в электронной форме:</w:t>
      </w:r>
      <w:r>
        <w:rPr/>
        <w:t xml:space="preserve"> Распоряжение филиала ПАО «Россети» - МЭС Центра от </w:t>
      </w:r>
      <w:r>
        <w:rPr>
          <w:bCs/>
          <w:iCs/>
        </w:rPr>
        <w:t>13.01.2025 № 2р</w:t>
      </w:r>
      <w:r>
        <w:rPr/>
        <w:t xml:space="preserve">; </w:t>
      </w:r>
    </w:p>
    <w:p>
      <w:pPr>
        <w:pStyle w:val="Normal"/>
        <w:jc w:val="both"/>
        <w:rPr/>
      </w:pPr>
      <w:r>
        <w:rPr/>
        <w:t xml:space="preserve">3. Извещение и Документация о проведении запроса предложений в электронной форме опубликованы 23.01.2025г. на официальном сайте Единой информационной системы в сфере закупок (www.zakupki.gov.ru) №32514436631, на электронной площадке РТС-Тендер (www.rts-tender.ru) № </w:t>
      </w:r>
      <w:r>
        <w:fldChar w:fldCharType="begin"/>
      </w:r>
      <w:r>
        <w:rPr>
          <w:rStyle w:val="Hyperlink"/>
        </w:rPr>
        <w:instrText xml:space="preserve"> HYPERLINK "https://223.rts-tender.ru/customer/lk/auctions/view/3052811" \l "1"</w:instrText>
      </w:r>
      <w:r>
        <w:rPr>
          <w:rStyle w:val="Hyperlink"/>
        </w:rPr>
        <w:fldChar w:fldCharType="separate"/>
      </w:r>
      <w:r>
        <w:rPr>
          <w:rStyle w:val="Hyperlink"/>
        </w:rPr>
        <w:t>3332516</w:t>
      </w:r>
      <w:r>
        <w:rPr>
          <w:rStyle w:val="Hyperlink"/>
        </w:rPr>
        <w:fldChar w:fldCharType="end"/>
      </w:r>
      <w:r>
        <w:rPr/>
        <w:t>.</w:t>
      </w:r>
    </w:p>
    <w:p>
      <w:pPr>
        <w:pStyle w:val="Normal"/>
        <w:jc w:val="both"/>
        <w:rPr/>
      </w:pPr>
      <w:r>
        <w:rPr/>
        <w:t>4. Сведения об объёме требуемых товаров, работ, услуг: в соответствии с документацией о закупке на проведение запроса предложений в электронной форме на право заключения договора на разработку ПД по титулу: «Проектно-изыскательские работы по реконструкции ПС 500 кВ Михайловская в части замены оборудования ОРУ 35 кВ (выключатели - 5 шт., разъединители - 2 шт., ТТ/ТН - 9 шт., оборудование РЗА - 7 шт.)» для нужд филиала ПАО «Россети» - Приокское ПМЭС.</w:t>
      </w:r>
    </w:p>
    <w:p>
      <w:pPr>
        <w:pStyle w:val="Normal"/>
        <w:spacing w:before="0" w:after="120"/>
        <w:jc w:val="both"/>
        <w:rPr/>
      </w:pPr>
      <w:r>
        <w:rPr/>
        <w:t>5. Классификация товаров, работ, услуг.</w:t>
      </w:r>
    </w:p>
    <w:tbl>
      <w:tblPr>
        <w:tblW w:w="10031" w:type="dxa"/>
        <w:jc w:val="start"/>
        <w:tblInd w:w="-8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60"/>
        <w:gridCol w:w="6095"/>
        <w:gridCol w:w="1276"/>
      </w:tblGrid>
      <w:tr>
        <w:trPr>
          <w:trHeight w:val="433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Код ОКПД 2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Код ОКВЭД 2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Количество (ед. измерения)</w:t>
            </w:r>
          </w:p>
        </w:tc>
      </w:tr>
      <w:tr>
        <w:trPr>
          <w:trHeight w:val="1389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71.12.13.000 - Услуги по инженерно-техническому проектированию систем энергоснабжения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71.12 - Деятельность в области инженерных изысканий, инженерно-технического проектирования, управления проектами строительства, выполнения строительного контроля и авторского надзора, предоставление технических консультаций в этих областях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 Условная единица</w:t>
            </w:r>
          </w:p>
        </w:tc>
      </w:tr>
    </w:tbl>
    <w:p>
      <w:pPr>
        <w:pStyle w:val="Normal"/>
        <w:jc w:val="both"/>
        <w:rPr/>
      </w:pPr>
      <w:r>
        <w:rPr/>
      </w:r>
    </w:p>
    <w:tbl>
      <w:tblPr>
        <w:tblW w:w="1003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4"/>
        <w:gridCol w:w="4677"/>
      </w:tblGrid>
      <w:tr>
        <w:trPr/>
        <w:tc>
          <w:tcPr>
            <w:tcW w:w="5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overflowPunct w:val="false"/>
              <w:autoSpaceDE w:val="false"/>
              <w:ind w:start="113" w:end="0"/>
              <w:jc w:val="center"/>
              <w:textAlignment w:val="baseline"/>
              <w:rPr>
                <w:b/>
                <w:bCs/>
              </w:rPr>
            </w:pPr>
            <w:r>
              <w:rPr>
                <w:b/>
                <w:bCs/>
              </w:rPr>
              <w:t>Начальная (максимальная) цена договора (цена лота)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overflowPunct w:val="false"/>
              <w:autoSpaceDE w:val="false"/>
              <w:ind w:start="113" w:end="0"/>
              <w:jc w:val="center"/>
              <w:textAlignment w:val="baseline"/>
              <w:rPr>
                <w:b/>
                <w:bCs/>
              </w:rPr>
            </w:pPr>
            <w:r>
              <w:rPr>
                <w:b/>
                <w:bCs/>
              </w:rPr>
              <w:t xml:space="preserve">Срок выполнения </w:t>
            </w:r>
          </w:p>
          <w:p>
            <w:pPr>
              <w:pStyle w:val="Normal"/>
              <w:overflowPunct w:val="false"/>
              <w:autoSpaceDE w:val="false"/>
              <w:ind w:start="113" w:end="0"/>
              <w:jc w:val="center"/>
              <w:textAlignment w:val="baseline"/>
              <w:rPr>
                <w:b/>
                <w:bCs/>
              </w:rPr>
            </w:pPr>
            <w:r>
              <w:rPr>
                <w:b/>
                <w:bCs/>
              </w:rPr>
              <w:t>работ/оказания услуг</w:t>
            </w:r>
          </w:p>
        </w:tc>
      </w:tr>
      <w:tr>
        <w:trPr>
          <w:trHeight w:val="310" w:hRule="atLeast"/>
        </w:trPr>
        <w:tc>
          <w:tcPr>
            <w:tcW w:w="5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8" w:leader="none"/>
              </w:tabs>
              <w:autoSpaceDE w:val="false"/>
              <w:rPr/>
            </w:pPr>
            <w:r>
              <w:rPr/>
              <w:t>Начальная (максимальная) цена договора без НДС составляет 5 588 734 руб. 30 коп., кроме того НДС в размере 20 %.</w:t>
            </w:r>
          </w:p>
          <w:p>
            <w:pPr>
              <w:pStyle w:val="Normal"/>
              <w:jc w:val="both"/>
              <w:rPr>
                <w:iCs/>
              </w:rPr>
            </w:pPr>
            <w:r>
              <w:rPr/>
              <w:t>Начальная (максимальная) цена договора с НДС</w:t>
              <w:br/>
              <w:t xml:space="preserve"> </w:t>
            </w:r>
            <w:r>
              <w:rPr>
                <w:b/>
              </w:rPr>
              <w:t>6 706 481 руб. 16 коп.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Срок начала </w:t>
            </w:r>
          </w:p>
          <w:p>
            <w:pPr>
              <w:pStyle w:val="Normal"/>
              <w:rPr/>
            </w:pPr>
            <w:r>
              <w:rPr/>
              <w:t xml:space="preserve">работ - с момента подписания договора. </w:t>
            </w:r>
          </w:p>
          <w:p>
            <w:pPr>
              <w:pStyle w:val="BodyTextIndent"/>
              <w:ind w:start="0" w:end="0"/>
              <w:jc w:val="start"/>
              <w:rPr>
                <w:iCs/>
                <w:color w:val="000000"/>
                <w:highlight w:val="yellow"/>
              </w:rPr>
            </w:pPr>
            <w:r>
              <w:rPr/>
              <w:t>Срок завершения работ ноябрь 2025г.</w:t>
            </w:r>
          </w:p>
        </w:tc>
      </w:tr>
    </w:tbl>
    <w:p>
      <w:pPr>
        <w:pStyle w:val="Normal"/>
        <w:numPr>
          <w:ilvl w:val="0"/>
          <w:numId w:val="3"/>
        </w:numPr>
        <w:spacing w:before="120" w:after="0"/>
        <w:ind w:hanging="0" w:start="0" w:end="0"/>
        <w:jc w:val="both"/>
        <w:rPr/>
      </w:pPr>
      <w:r>
        <w:rPr/>
        <w:t>Описание предмета закупки в соответствии с частью 6.1 статьи 3 Закона 223-ФЗ установлено в части V «Техническая часть» документации о закупке.</w:t>
      </w:r>
    </w:p>
    <w:p>
      <w:pPr>
        <w:pStyle w:val="Normal"/>
        <w:numPr>
          <w:ilvl w:val="0"/>
          <w:numId w:val="3"/>
        </w:numPr>
        <w:ind w:hanging="0" w:start="0" w:end="0"/>
        <w:jc w:val="both"/>
        <w:rPr/>
      </w:pPr>
      <w:r>
        <w:rPr/>
        <w:t>На ЭП РТС-Тендер в соответствии с правилами ее работы произведено вскрытие поступивших на запрос предложений в электронной форме конвертов с заявками 04.02.2025 в 12:00.</w:t>
      </w:r>
    </w:p>
    <w:p>
      <w:pPr>
        <w:pStyle w:val="Normal"/>
        <w:widowControl w:val="false"/>
        <w:suppressAutoHyphens w:val="true"/>
        <w:overflowPunct w:val="false"/>
        <w:autoSpaceDE w:val="false"/>
        <w:spacing w:before="0" w:after="120"/>
        <w:jc w:val="both"/>
        <w:textAlignment w:val="baseline"/>
        <w:rPr/>
      </w:pPr>
      <w:r>
        <w:rPr/>
        <w:t>8. На момент окончания срока подачи заявок на участие в запросе предложений на электронную площадку РТС-Тендер поступило 3 (Три) заявки от Участников:</w:t>
      </w:r>
    </w:p>
    <w:tbl>
      <w:tblPr>
        <w:tblW w:w="49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1"/>
        <w:gridCol w:w="1517"/>
        <w:gridCol w:w="4547"/>
        <w:gridCol w:w="1516"/>
        <w:gridCol w:w="1515"/>
      </w:tblGrid>
      <w:tr>
        <w:trPr>
          <w:tblHeader w:val="true"/>
          <w:trHeight w:val="1317" w:hRule="atLeast"/>
          <w:cantSplit w:val="true"/>
        </w:trPr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jc w:val="center"/>
              <w:textAlignment w:val="baselin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№ </w:t>
            </w:r>
            <w:r>
              <w:rPr>
                <w:b/>
                <w:bCs/>
                <w:sz w:val="20"/>
                <w:szCs w:val="20"/>
              </w:rPr>
              <w:t>заявки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jc w:val="center"/>
              <w:textAlignment w:val="baselin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4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jc w:val="center"/>
              <w:textAlignment w:val="baselin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Наименование участника закупки, место нахождения и фактический адрес участника закупки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jc w:val="center"/>
              <w:textAlignment w:val="baselin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Цена предложения </w:t>
            </w:r>
          </w:p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jc w:val="center"/>
              <w:textAlignment w:val="baseline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без НДС, руб.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jc w:val="center"/>
              <w:textAlignment w:val="baselin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Цена предложения </w:t>
            </w:r>
          </w:p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jc w:val="center"/>
              <w:textAlignment w:val="baseline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 НДС, руб.</w:t>
            </w:r>
          </w:p>
        </w:tc>
      </w:tr>
      <w:tr>
        <w:trPr>
          <w:trHeight w:val="658" w:hRule="atLeast"/>
          <w:cantSplit w:val="true"/>
        </w:trPr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jc w:val="center"/>
              <w:textAlignment w:val="baseline"/>
              <w:rPr/>
            </w:pPr>
            <w:r>
              <w:rPr/>
              <w:t>1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ind w:start="-102" w:end="-107"/>
              <w:jc w:val="center"/>
              <w:textAlignment w:val="baseline"/>
              <w:rPr/>
            </w:pPr>
            <w:r>
              <w:rPr/>
              <w:t>03.02.2025 13:34</w:t>
            </w:r>
          </w:p>
        </w:tc>
        <w:tc>
          <w:tcPr>
            <w:tcW w:w="4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ООО ПЦ "ЭКРА" 428003, Чувашская Республика - Чувашия, Г ЧЕБОКСАРЫ, ПР-КТ ТРАКТОРОСТРОИТЕЛЕЙ, ЗД. 103А, ПОМЕЩ. 20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ind w:start="-108" w:end="0"/>
              <w:jc w:val="center"/>
              <w:textAlignment w:val="baseline"/>
              <w:rPr/>
            </w:pPr>
            <w:r>
              <w:rPr/>
              <w:t>5 587 652,00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ind w:start="-108" w:end="0"/>
              <w:jc w:val="center"/>
              <w:textAlignment w:val="baseline"/>
              <w:rPr/>
            </w:pPr>
            <w:r>
              <w:rPr/>
              <w:t>6 705 182,40</w:t>
            </w:r>
          </w:p>
        </w:tc>
      </w:tr>
      <w:tr>
        <w:trPr>
          <w:trHeight w:val="658" w:hRule="atLeast"/>
          <w:cantSplit w:val="true"/>
        </w:trPr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jc w:val="center"/>
              <w:textAlignment w:val="baseline"/>
              <w:rPr/>
            </w:pPr>
            <w:r>
              <w:rPr/>
              <w:t>2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ind w:start="-102" w:end="-107"/>
              <w:jc w:val="center"/>
              <w:textAlignment w:val="baseline"/>
              <w:rPr/>
            </w:pPr>
            <w:r>
              <w:rPr/>
              <w:t>03.02.2025 14:41</w:t>
            </w:r>
          </w:p>
        </w:tc>
        <w:tc>
          <w:tcPr>
            <w:tcW w:w="4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jc w:val="center"/>
              <w:textAlignment w:val="baseline"/>
              <w:rPr/>
            </w:pPr>
            <w:r>
              <w:rPr/>
              <w:t>ООО "ПТГ "КОНТУР БЕЗОПАСНОСТИ" 109263, Российская Федерация, г. Москва, УЛ. ШКУЛЁВА, Д. 9, СТР.1, ПОМЕЩ. 2/1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ind w:start="-108" w:end="0"/>
              <w:jc w:val="center"/>
              <w:textAlignment w:val="baseline"/>
              <w:rPr/>
            </w:pPr>
            <w:r>
              <w:rPr/>
              <w:t>5 588 220,00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ind w:start="-108" w:end="0"/>
              <w:jc w:val="center"/>
              <w:textAlignment w:val="baseline"/>
              <w:rPr/>
            </w:pPr>
            <w:r>
              <w:rPr/>
              <w:t>6 705 864,00</w:t>
            </w:r>
          </w:p>
        </w:tc>
      </w:tr>
      <w:tr>
        <w:trPr>
          <w:trHeight w:val="658" w:hRule="atLeast"/>
          <w:cantSplit w:val="true"/>
        </w:trPr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jc w:val="center"/>
              <w:textAlignment w:val="baseline"/>
              <w:rPr/>
            </w:pPr>
            <w:r>
              <w:rPr/>
              <w:t>3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ind w:start="-102" w:end="-107"/>
              <w:jc w:val="center"/>
              <w:textAlignment w:val="baseline"/>
              <w:rPr/>
            </w:pPr>
            <w:r>
              <w:rPr/>
              <w:t>03.02.2025 16:06</w:t>
            </w:r>
          </w:p>
        </w:tc>
        <w:tc>
          <w:tcPr>
            <w:tcW w:w="4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ind w:start="-108" w:end="0"/>
              <w:jc w:val="center"/>
              <w:textAlignment w:val="baseline"/>
              <w:rPr/>
            </w:pPr>
            <w:r>
              <w:rPr/>
              <w:t xml:space="preserve">ООО "ЭНЕРВИТА" </w:t>
            </w:r>
          </w:p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ind w:start="-108" w:end="0"/>
              <w:jc w:val="center"/>
              <w:textAlignment w:val="baseline"/>
              <w:rPr/>
            </w:pPr>
            <w:r>
              <w:rPr/>
              <w:t>107014, Г.МОСКВА, вн.тер.г. МУНИЦИПАЛЬНЫЙ ОКРУГ СОКОЛЬНИКИ, УЛ РУСАКОВСКАЯ, Д. 22, ПОМЕЩ. V, ЭТ 1, К. 43, ОФ И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ind w:start="-108" w:end="0"/>
              <w:jc w:val="center"/>
              <w:textAlignment w:val="baseline"/>
              <w:rPr/>
            </w:pPr>
            <w:r>
              <w:rPr/>
              <w:t>5 587 560,00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ind w:start="-108" w:end="0"/>
              <w:jc w:val="center"/>
              <w:textAlignment w:val="baseline"/>
              <w:rPr/>
            </w:pPr>
            <w:r>
              <w:rPr/>
              <w:t>6 705 072,00</w:t>
            </w:r>
          </w:p>
        </w:tc>
      </w:tr>
    </w:tbl>
    <w:p>
      <w:pPr>
        <w:pStyle w:val="Normal"/>
        <w:spacing w:before="120" w:after="120"/>
        <w:jc w:val="both"/>
        <w:rPr/>
      </w:pPr>
      <w:r>
        <w:rPr>
          <w:b/>
          <w:lang w:val="en-US"/>
        </w:rPr>
        <w:t>III</w:t>
      </w:r>
      <w:r>
        <w:rPr>
          <w:b/>
        </w:rPr>
        <w:t>. РЕЗУЛЬТАТ ОЦЕНКИ ПРЕДЛОЖЕНИЙ УЧАСТНИКОВ.</w:t>
      </w:r>
    </w:p>
    <w:p>
      <w:pPr>
        <w:pStyle w:val="Normal"/>
        <w:jc w:val="both"/>
        <w:rPr/>
      </w:pPr>
      <w:r>
        <w:rPr/>
        <w:t>Оценка соответствия Заявок Участников требованиям Закупочной документации проведена на основании сводного экспертного заключения с учетом выводов Экспертного совета: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284" w:leader="none"/>
        </w:tabs>
        <w:spacing w:before="0" w:after="120"/>
        <w:ind w:hanging="0" w:start="0" w:end="0"/>
        <w:jc w:val="both"/>
        <w:rPr/>
      </w:pPr>
      <w:r>
        <w:rPr/>
        <w:t>По результату этапа рассмотрения заявок на участие в запросе предложений в электронной форме отклонена 1 (одна) заявка.</w:t>
      </w:r>
    </w:p>
    <w:tbl>
      <w:tblPr>
        <w:tblW w:w="5050" w:type="pct"/>
        <w:jc w:val="center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63"/>
        <w:gridCol w:w="2630"/>
        <w:gridCol w:w="4054"/>
        <w:gridCol w:w="2664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start="-23" w:end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Поряд-ковый номер заявки</w:t>
            </w:r>
          </w:p>
        </w:tc>
        <w:tc>
          <w:tcPr>
            <w:tcW w:w="2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Участник закупки</w:t>
            </w:r>
          </w:p>
        </w:tc>
        <w:tc>
          <w:tcPr>
            <w:tcW w:w="4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Решение о соответствии или несоответствии заявки на участие требованиям Документации о закупке</w:t>
            </w:r>
          </w:p>
        </w:tc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Основание отклонения заявки</w:t>
            </w:r>
          </w:p>
        </w:tc>
      </w:tr>
      <w:tr>
        <w:trPr>
          <w:trHeight w:val="422" w:hRule="atLeast"/>
        </w:trPr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2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ООО ПЦ "ЭКРА"</w:t>
            </w:r>
          </w:p>
        </w:tc>
        <w:tc>
          <w:tcPr>
            <w:tcW w:w="4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Признать не соответствующей требованиям документации о закупке. Отклонить.</w:t>
            </w:r>
          </w:p>
        </w:tc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3"/>
              <w:numPr>
                <w:ilvl w:val="0"/>
                <w:numId w:val="5"/>
              </w:numPr>
              <w:tabs>
                <w:tab w:val="clear" w:pos="708"/>
                <w:tab w:val="left" w:pos="281" w:leader="none"/>
              </w:tabs>
              <w:overflowPunct w:val="true"/>
              <w:autoSpaceDE w:val="true"/>
              <w:ind w:hanging="1" w:start="0" w:end="0"/>
              <w:jc w:val="both"/>
              <w:textAlignment w:val="auto"/>
              <w:rPr>
                <w:bCs/>
              </w:rPr>
            </w:pPr>
            <w:r>
              <w:rPr>
                <w:bCs/>
              </w:rPr>
              <w:t>В форме 3 «График выполнения работ» указана разработка ТЧКД после получения положительного заключения экспертизы, что не соответствует п.4.5. «Разработка закупочной документации» ч. V «Техническая часть»;</w:t>
            </w:r>
          </w:p>
          <w:p>
            <w:pPr>
              <w:pStyle w:val="Style23"/>
              <w:overflowPunct w:val="true"/>
              <w:autoSpaceDE w:val="true"/>
              <w:ind w:start="0" w:end="0"/>
              <w:jc w:val="both"/>
              <w:textAlignment w:val="auto"/>
              <w:rPr>
                <w:spacing w:val="-1"/>
                <w:sz w:val="24"/>
                <w:szCs w:val="24"/>
              </w:rPr>
            </w:pPr>
            <w:r>
              <w:rPr>
                <w:bCs/>
              </w:rPr>
              <w:t>В форме 3 «График выполнения работ» указано начало выполнения работ для получения положительного заключения с последнего месяца разработки и согласования проектной документации, что не соответствует п.4.4 «Экспертиза проектно-сметной документации и/или проведение оценки стоимостных показателей в рамках иных (консультационных) ч. V «Техническая часть».</w:t>
            </w:r>
          </w:p>
        </w:tc>
      </w:tr>
      <w:tr>
        <w:trPr>
          <w:trHeight w:val="361" w:hRule="atLeast"/>
        </w:trPr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2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jc w:val="center"/>
              <w:textAlignment w:val="baseline"/>
              <w:rPr/>
            </w:pPr>
            <w:r>
              <w:rPr/>
              <w:t>ООО "ПТГ "КОНТУР БЕЗОПАСНОСТИ"</w:t>
            </w:r>
          </w:p>
        </w:tc>
        <w:tc>
          <w:tcPr>
            <w:tcW w:w="4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Признать соответствующей требованиям документации о закупке</w:t>
            </w:r>
          </w:p>
        </w:tc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7" w:end="0"/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</w:tc>
      </w:tr>
      <w:tr>
        <w:trPr>
          <w:trHeight w:val="361" w:hRule="atLeast"/>
        </w:trPr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2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overflowPunct w:val="false"/>
              <w:autoSpaceDE w:val="false"/>
              <w:ind w:start="-108" w:end="0"/>
              <w:jc w:val="center"/>
              <w:textAlignment w:val="baseline"/>
              <w:rPr/>
            </w:pPr>
            <w:r>
              <w:rPr/>
              <w:t>ООО "ЭНЕРВИТА"</w:t>
            </w:r>
          </w:p>
        </w:tc>
        <w:tc>
          <w:tcPr>
            <w:tcW w:w="4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Признать соответствующей требованиям документации о закупке</w:t>
            </w:r>
          </w:p>
        </w:tc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7" w:end="0"/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08"/>
          <w:tab w:val="left" w:pos="567" w:leader="none"/>
        </w:tabs>
        <w:spacing w:before="120" w:after="0"/>
        <w:ind w:hanging="0" w:start="0" w:end="0"/>
        <w:jc w:val="both"/>
        <w:rPr/>
      </w:pPr>
      <w:r>
        <w:rPr/>
        <w:t>Провести аукционную процедуру понижения цены заявок участников (переторжку) в очной форме с использованием функционала «РТС-Тендер», и установить дату и время начала процедуры регулирования цены (переторжки) – «04» марта 2025 года 13 часов 00 минут (время московское).</w:t>
      </w:r>
    </w:p>
    <w:p>
      <w:pPr>
        <w:pStyle w:val="Normal"/>
        <w:ind w:start="180" w:end="0"/>
        <w:jc w:val="both"/>
        <w:rPr/>
      </w:pPr>
      <w:r>
        <w:rPr/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48"/>
        <w:gridCol w:w="2055"/>
        <w:gridCol w:w="2409"/>
        <w:gridCol w:w="3119"/>
      </w:tblGrid>
      <w:tr>
        <w:trPr>
          <w:trHeight w:val="1177" w:hRule="atLeast"/>
        </w:trPr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Секретарь комиссии (без права голоса)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left" w:pos="708" w:leader="none"/>
                <w:tab w:val="center" w:pos="4677" w:leader="none"/>
                <w:tab w:val="right" w:pos="9355" w:leader="none"/>
              </w:tabs>
              <w:snapToGrid w:val="false"/>
              <w:jc w:val="center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Голубева М.В.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Главный специалист службы закупок ПАО «Россети» - МЭС Центра</w:t>
            </w:r>
          </w:p>
        </w:tc>
      </w:tr>
    </w:tbl>
    <w:p>
      <w:pPr>
        <w:pStyle w:val="Normal"/>
        <w:keepNext w:val="true"/>
        <w:keepLines/>
        <w:numPr>
          <w:ilvl w:val="0"/>
          <w:numId w:val="0"/>
        </w:numPr>
        <w:suppressAutoHyphens w:val="true"/>
        <w:outlineLvl w:val="0"/>
        <w:rPr>
          <w:sz w:val="16"/>
          <w:szCs w:val="16"/>
        </w:rPr>
      </w:pPr>
      <w:r>
        <w:rPr>
          <w:sz w:val="16"/>
          <w:szCs w:val="16"/>
        </w:rPr>
      </w:r>
    </w:p>
    <w:sectPr>
      <w:footerReference w:type="default" r:id="rId2"/>
      <w:footerReference w:type="first" r:id="rId3"/>
      <w:type w:val="nextPage"/>
      <w:pgSz w:w="11906" w:h="16838"/>
      <w:pgMar w:left="1242" w:right="851" w:gutter="0" w:header="0" w:top="737" w:footer="258" w:bottom="9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Arial">
    <w:charset w:val="cc" w:characterSet="windows-1251"/>
    <w:family w:val="swiss"/>
    <w:pitch w:val="variable"/>
  </w:font>
  <w:font w:name="Times New Roman CYR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numPr>
        <w:ilvl w:val="0"/>
        <w:numId w:val="0"/>
      </w:numPr>
      <w:tabs>
        <w:tab w:val="clear" w:pos="4677"/>
        <w:tab w:val="clear" w:pos="9355"/>
      </w:tabs>
      <w:ind w:end="-1"/>
      <w:jc w:val="center"/>
      <w:outlineLvl w:val="0"/>
      <w:rPr>
        <w:sz w:val="16"/>
        <w:szCs w:val="16"/>
        <w:lang w:val="en-US"/>
      </w:rPr>
    </w:pPr>
    <w:r>
      <w:rPr>
        <w:sz w:val="16"/>
        <w:szCs w:val="16"/>
      </w:rPr>
      <w:t xml:space="preserve">ПРОТОКОЛ № </w:t>
    </w:r>
    <w:r>
      <w:rPr>
        <w:sz w:val="16"/>
        <w:szCs w:val="16"/>
        <w:lang w:val="en-US"/>
      </w:rPr>
      <w:t>2</w:t>
    </w:r>
    <w:r>
      <w:rPr>
        <w:sz w:val="16"/>
        <w:szCs w:val="16"/>
      </w:rPr>
      <w:t>/</w:t>
    </w:r>
    <w:r>
      <w:fldChar w:fldCharType="begin"/>
    </w:r>
    <w:r>
      <w:rPr>
        <w:rStyle w:val="Hyperlink"/>
        <w:sz w:val="16"/>
        <w:szCs w:val="16"/>
      </w:rPr>
      <w:instrText xml:space="preserve"> HYPERLINK "https://223.rts-tender.ru/customer/lk/auctions/view/3052811" \l "1"</w:instrText>
    </w:r>
    <w:r>
      <w:rPr>
        <w:rStyle w:val="Hyperlink"/>
        <w:sz w:val="16"/>
        <w:szCs w:val="16"/>
      </w:rPr>
      <w:fldChar w:fldCharType="separate"/>
    </w:r>
    <w:r>
      <w:rPr>
        <w:rStyle w:val="Hyperlink"/>
        <w:sz w:val="16"/>
        <w:szCs w:val="16"/>
      </w:rPr>
      <w:t>3332516</w:t>
    </w:r>
    <w:r>
      <w:rPr>
        <w:rStyle w:val="Hyperlink"/>
        <w:sz w:val="16"/>
        <w:szCs w:val="16"/>
      </w:rPr>
      <w:fldChar w:fldCharType="end"/>
    </w:r>
    <w:r>
      <w:rPr>
        <w:sz w:val="16"/>
        <w:szCs w:val="16"/>
      </w:rPr>
      <w:t>/ПРЗК/2025/М1/ЗК/</w:t>
    </w:r>
    <w:r>
      <w:rPr>
        <w:sz w:val="16"/>
        <w:szCs w:val="16"/>
        <w:lang w:val="en-US"/>
      </w:rPr>
      <w:t>216</w:t>
    </w:r>
  </w:p>
  <w:p>
    <w:pPr>
      <w:pStyle w:val="Header"/>
      <w:numPr>
        <w:ilvl w:val="0"/>
        <w:numId w:val="0"/>
      </w:numPr>
      <w:tabs>
        <w:tab w:val="clear" w:pos="4677"/>
        <w:tab w:val="clear" w:pos="9355"/>
      </w:tabs>
      <w:ind w:end="-1"/>
      <w:jc w:val="center"/>
      <w:outlineLvl w:val="0"/>
      <w:rPr>
        <w:sz w:val="16"/>
        <w:szCs w:val="16"/>
      </w:rPr>
    </w:pPr>
    <w:r>
      <w:rPr>
        <w:sz w:val="16"/>
        <w:szCs w:val="16"/>
      </w:rPr>
      <w:t>Заочного заседания Закупочной комиссии по рассмотрению заявок Участников запроса предложений в электронной форме на право заключения договора на разработку ПД по титулу: «Проектно-изыскательские работы по реконструкции ПС 500 кВ Михайловская в части замены оборудования ОРУ 35 кВ (выключатели - 5 шт., разъединители - 2 шт., ТТ/ТН - 9 шт., оборудование РЗА - 7 шт.)» для нужд филиала ПАО «Россети» - Приокское ПМЭС</w:t>
    </w:r>
  </w:p>
  <w:p>
    <w:pPr>
      <w:pStyle w:val="Header"/>
      <w:numPr>
        <w:ilvl w:val="0"/>
        <w:numId w:val="0"/>
      </w:numPr>
      <w:tabs>
        <w:tab w:val="clear" w:pos="4677"/>
        <w:tab w:val="clear" w:pos="9355"/>
      </w:tabs>
      <w:ind w:end="-1"/>
      <w:jc w:val="center"/>
      <w:outlineLvl w:val="0"/>
      <w:rPr/>
    </w:pPr>
    <w:r>
      <w:rPr>
        <w:sz w:val="16"/>
        <w:szCs w:val="16"/>
      </w:rPr>
      <w:t xml:space="preserve">Страница </w:t>
    </w:r>
    <w:r>
      <w:rPr>
        <w:b/>
        <w:bCs/>
        <w:sz w:val="16"/>
        <w:szCs w:val="16"/>
      </w:rPr>
      <w:fldChar w:fldCharType="begin"/>
    </w:r>
    <w:r>
      <w:rPr>
        <w:sz w:val="16"/>
        <w:b/>
        <w:szCs w:val="16"/>
        <w:bCs/>
      </w:rPr>
      <w:instrText xml:space="preserve"> PAGE </w:instrText>
    </w:r>
    <w:r>
      <w:rPr>
        <w:sz w:val="16"/>
        <w:b/>
        <w:szCs w:val="16"/>
        <w:bCs/>
      </w:rPr>
      <w:fldChar w:fldCharType="separate"/>
    </w:r>
    <w:r>
      <w:rPr>
        <w:sz w:val="16"/>
        <w:b/>
        <w:szCs w:val="16"/>
        <w:bCs/>
      </w:rPr>
      <w:t>3</w:t>
    </w:r>
    <w:r>
      <w:rPr>
        <w:sz w:val="16"/>
        <w:b/>
        <w:szCs w:val="16"/>
        <w:bCs/>
      </w:rPr>
      <w:fldChar w:fldCharType="end"/>
    </w:r>
    <w:r>
      <w:rPr>
        <w:sz w:val="16"/>
        <w:szCs w:val="16"/>
      </w:rPr>
      <w:t xml:space="preserve"> из </w:t>
    </w:r>
    <w:r>
      <w:rPr>
        <w:b/>
        <w:bCs/>
        <w:sz w:val="16"/>
        <w:szCs w:val="16"/>
      </w:rPr>
      <w:fldChar w:fldCharType="begin"/>
    </w:r>
    <w:r>
      <w:rPr>
        <w:sz w:val="16"/>
        <w:b/>
        <w:szCs w:val="16"/>
        <w:bCs/>
      </w:rPr>
      <w:instrText xml:space="preserve"> NUMPAGES \* ARABIC </w:instrText>
    </w:r>
    <w:r>
      <w:rPr>
        <w:sz w:val="16"/>
        <w:b/>
        <w:szCs w:val="16"/>
        <w:bCs/>
      </w:rPr>
      <w:fldChar w:fldCharType="separate"/>
    </w:r>
    <w:r>
      <w:rPr>
        <w:sz w:val="16"/>
        <w:b/>
        <w:szCs w:val="16"/>
        <w:bCs/>
      </w:rPr>
      <w:t>3</w:t>
    </w:r>
    <w:r>
      <w:rPr>
        <w:sz w:val="16"/>
        <w:b/>
        <w:szCs w:val="16"/>
        <w:bCs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6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502"/>
        </w:tabs>
        <w:ind w:start="502" w:hanging="360"/>
      </w:pPr>
      <w:rPr/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upperRoman"/>
      <w:lvlText w:val="%1."/>
      <w:lvlJc w:val="start"/>
      <w:pPr>
        <w:tabs>
          <w:tab w:val="num" w:pos="6674"/>
        </w:tabs>
        <w:ind w:start="6674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8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tabs>
        <w:tab w:val="clear" w:pos="708"/>
        <w:tab w:val="left" w:pos="360" w:leader="none"/>
        <w:tab w:val="left" w:pos="1008" w:leader="none"/>
      </w:tabs>
      <w:suppressAutoHyphens w:val="true"/>
      <w:spacing w:lineRule="auto" w:line="360" w:before="60" w:after="0"/>
      <w:ind w:hanging="432" w:start="1008" w:end="0"/>
      <w:jc w:val="both"/>
      <w:textAlignment w:val="baseline"/>
      <w:outlineLvl w:val="4"/>
    </w:pPr>
    <w:rPr>
      <w:rFonts w:eastAsia="Calibri"/>
      <w:b/>
      <w:bCs/>
      <w:sz w:val="26"/>
      <w:szCs w:val="26"/>
      <w:lang w:val="en-US"/>
    </w:rPr>
  </w:style>
  <w:style w:type="character" w:styleId="WW8Num1z0">
    <w:name w:val="WW8Num1z0"/>
    <w:qFormat/>
    <w:rPr>
      <w:rFonts w:cs="Times New Roman"/>
      <w:sz w:val="22"/>
    </w:rPr>
  </w:style>
  <w:style w:type="character" w:styleId="WW8Num1z1">
    <w:name w:val="WW8Num1z1"/>
    <w:qFormat/>
    <w:rPr>
      <w:rFonts w:cs="Times New Roman"/>
    </w:rPr>
  </w:style>
  <w:style w:type="character" w:styleId="WW8Num2z0">
    <w:name w:val="WW8Num2z0"/>
    <w:qFormat/>
    <w:rPr>
      <w:rFonts w:cs="Times New Roman"/>
      <w:b w:val="false"/>
      <w:sz w:val="24"/>
      <w:szCs w:val="24"/>
    </w:rPr>
  </w:style>
  <w:style w:type="character" w:styleId="WW8Num2z1">
    <w:name w:val="WW8Num2z1"/>
    <w:qFormat/>
    <w:rPr>
      <w:rFonts w:cs="Times New Roman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cs="Times New Roman"/>
    </w:rPr>
  </w:style>
  <w:style w:type="character" w:styleId="WW8Num20z1">
    <w:name w:val="WW8Num20z1"/>
    <w:qFormat/>
    <w:rPr>
      <w:rFonts w:cs="Times New Roman"/>
      <w:b w:val="false"/>
    </w:rPr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cs="Times New Roman"/>
      <w:color w:val="000000"/>
    </w:rPr>
  </w:style>
  <w:style w:type="character" w:styleId="WW8Num25z0">
    <w:name w:val="WW8Num25z0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8z0">
    <w:name w:val="WW8Num28z0"/>
    <w:qFormat/>
    <w:rPr>
      <w:rFonts w:cs="Times New Roman"/>
    </w:rPr>
  </w:style>
  <w:style w:type="character" w:styleId="WW8Num29z0">
    <w:name w:val="WW8Num29z0"/>
    <w:qFormat/>
    <w:rPr/>
  </w:style>
  <w:style w:type="character" w:styleId="WW8Num30z0">
    <w:name w:val="WW8Num30z0"/>
    <w:qFormat/>
    <w:rPr>
      <w:rFonts w:ascii="Arial" w:hAnsi="Arial" w:cs="Aria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/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7z0">
    <w:name w:val="WW8Num37z0"/>
    <w:qFormat/>
    <w:rPr/>
  </w:style>
  <w:style w:type="character" w:styleId="WW8Num38z0">
    <w:name w:val="WW8Num38z0"/>
    <w:qFormat/>
    <w:rPr>
      <w:rFonts w:ascii="Symbol" w:hAnsi="Symbol" w:cs="Symbol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9z0">
    <w:name w:val="WW8Num39z0"/>
    <w:qFormat/>
    <w:rPr/>
  </w:style>
  <w:style w:type="character" w:styleId="WW8Num40z0">
    <w:name w:val="WW8Num40z0"/>
    <w:qFormat/>
    <w:rPr/>
  </w:style>
  <w:style w:type="character" w:styleId="WW8Num41z0">
    <w:name w:val="WW8Num41z0"/>
    <w:qFormat/>
    <w:rPr>
      <w:sz w:val="22"/>
    </w:rPr>
  </w:style>
  <w:style w:type="character" w:styleId="WW8Num42z0">
    <w:name w:val="WW8Num42z0"/>
    <w:qFormat/>
    <w:rPr>
      <w:rFonts w:ascii="Courier New" w:hAnsi="Courier New" w:cs="Courier New"/>
    </w:rPr>
  </w:style>
  <w:style w:type="character" w:styleId="WW8Num42z2">
    <w:name w:val="WW8Num42z2"/>
    <w:qFormat/>
    <w:rPr>
      <w:rFonts w:ascii="Wingdings" w:hAnsi="Wingdings" w:cs="Wingdings"/>
    </w:rPr>
  </w:style>
  <w:style w:type="character" w:styleId="WW8Num42z3">
    <w:name w:val="WW8Num42z3"/>
    <w:qFormat/>
    <w:rPr>
      <w:rFonts w:ascii="Symbol" w:hAnsi="Symbol" w:cs="Symbol"/>
    </w:rPr>
  </w:style>
  <w:style w:type="character" w:styleId="WW8Num43z0">
    <w:name w:val="WW8Num43z0"/>
    <w:qFormat/>
    <w:rPr/>
  </w:style>
  <w:style w:type="character" w:styleId="WW8Num44z0">
    <w:name w:val="WW8Num44z0"/>
    <w:qFormat/>
    <w:rPr>
      <w:u w:val="none"/>
    </w:rPr>
  </w:style>
  <w:style w:type="character" w:styleId="WW8Num45z0">
    <w:name w:val="WW8Num45z0"/>
    <w:qFormat/>
    <w:rPr>
      <w:rFonts w:ascii="Symbol" w:hAnsi="Symbol" w:cs="Symbol"/>
    </w:rPr>
  </w:style>
  <w:style w:type="character" w:styleId="WW8Num45z1">
    <w:name w:val="WW8Num45z1"/>
    <w:qFormat/>
    <w:rPr>
      <w:rFonts w:ascii="Courier New" w:hAnsi="Courier New" w:cs="Courier New"/>
    </w:rPr>
  </w:style>
  <w:style w:type="character" w:styleId="WW8Num45z2">
    <w:name w:val="WW8Num45z2"/>
    <w:qFormat/>
    <w:rPr>
      <w:rFonts w:ascii="Wingdings" w:hAnsi="Wingdings" w:cs="Wingdings"/>
    </w:rPr>
  </w:style>
  <w:style w:type="character" w:styleId="WW8Num46z0">
    <w:name w:val="WW8Num46z0"/>
    <w:qFormat/>
    <w:rPr>
      <w:b w:val="false"/>
      <w:sz w:val="28"/>
      <w:szCs w:val="28"/>
    </w:rPr>
  </w:style>
  <w:style w:type="character" w:styleId="WW8Num47z0">
    <w:name w:val="WW8Num47z0"/>
    <w:qFormat/>
    <w:rPr>
      <w:rFonts w:ascii="Symbol" w:hAnsi="Symbol" w:cs="Symbol"/>
    </w:rPr>
  </w:style>
  <w:style w:type="character" w:styleId="WW8Num47z1">
    <w:name w:val="WW8Num47z1"/>
    <w:qFormat/>
    <w:rPr>
      <w:rFonts w:ascii="Courier New" w:hAnsi="Courier New" w:cs="Courier New"/>
    </w:rPr>
  </w:style>
  <w:style w:type="character" w:styleId="WW8Num47z2">
    <w:name w:val="WW8Num47z2"/>
    <w:qFormat/>
    <w:rPr>
      <w:rFonts w:ascii="Wingdings" w:hAnsi="Wingdings" w:cs="Wingdings"/>
    </w:rPr>
  </w:style>
  <w:style w:type="character" w:styleId="WW8Num48z0">
    <w:name w:val="WW8Num48z0"/>
    <w:qFormat/>
    <w:rPr>
      <w:rFonts w:ascii="Times New Roman" w:hAnsi="Times New Roman" w:eastAsia="Times New Roman" w:cs="Times New Roman"/>
    </w:rPr>
  </w:style>
  <w:style w:type="character" w:styleId="WW8Num48z1">
    <w:name w:val="WW8Num48z1"/>
    <w:qFormat/>
    <w:rPr>
      <w:rFonts w:ascii="Courier New" w:hAnsi="Courier New" w:cs="Courier New"/>
    </w:rPr>
  </w:style>
  <w:style w:type="character" w:styleId="WW8Num48z2">
    <w:name w:val="WW8Num48z2"/>
    <w:qFormat/>
    <w:rPr>
      <w:rFonts w:ascii="Wingdings" w:hAnsi="Wingdings" w:cs="Wingdings"/>
    </w:rPr>
  </w:style>
  <w:style w:type="character" w:styleId="WW8Num48z3">
    <w:name w:val="WW8Num48z3"/>
    <w:qFormat/>
    <w:rPr>
      <w:rFonts w:ascii="Symbol" w:hAnsi="Symbol" w:cs="Symbol"/>
    </w:rPr>
  </w:style>
  <w:style w:type="character" w:styleId="WW8Num49z0">
    <w:name w:val="WW8Num49z0"/>
    <w:qFormat/>
    <w:rPr/>
  </w:style>
  <w:style w:type="character" w:styleId="Style13">
    <w:name w:val="Основной шрифт абзаца"/>
    <w:qFormat/>
    <w:rPr/>
  </w:style>
  <w:style w:type="character" w:styleId="Style14">
    <w:name w:val="Верхний колонтитул Знак"/>
    <w:qFormat/>
    <w:rPr>
      <w:sz w:val="24"/>
      <w:szCs w:val="24"/>
      <w:lang w:val="ru-RU" w:bidi="ar-SA"/>
    </w:rPr>
  </w:style>
  <w:style w:type="character" w:styleId="Style15">
    <w:name w:val="комментарий"/>
    <w:qFormat/>
    <w:rPr>
      <w:b/>
      <w:i/>
      <w:shd w:fill="FFFF99" w:val="clear"/>
    </w:rPr>
  </w:style>
  <w:style w:type="character" w:styleId="2">
    <w:name w:val="Основной текст с отступом 2 Знак"/>
    <w:qFormat/>
    <w:rPr>
      <w:rFonts w:ascii="Times New Roman CYR" w:hAnsi="Times New Roman CYR" w:cs="Times New Roman CYR"/>
      <w:sz w:val="24"/>
    </w:rPr>
  </w:style>
  <w:style w:type="character" w:styleId="Hyperlink">
    <w:name w:val="Hyperlink"/>
    <w:rPr>
      <w:color w:val="0000FF"/>
      <w:u w:val="single"/>
    </w:rPr>
  </w:style>
  <w:style w:type="character" w:styleId="3">
    <w:name w:val="Основной текст 3 Знак"/>
    <w:qFormat/>
    <w:rPr>
      <w:sz w:val="16"/>
      <w:szCs w:val="16"/>
    </w:rPr>
  </w:style>
  <w:style w:type="character" w:styleId="Style16">
    <w:name w:val="Подзаголовок Знак"/>
    <w:qFormat/>
    <w:rPr>
      <w:rFonts w:ascii="Cambria" w:hAnsi="Cambria" w:eastAsia="Times New Roman" w:cs="Times New Roman"/>
      <w:sz w:val="24"/>
      <w:szCs w:val="24"/>
    </w:rPr>
  </w:style>
  <w:style w:type="character" w:styleId="Style17">
    <w:name w:val="Основной текст Знак"/>
    <w:qFormat/>
    <w:rPr>
      <w:rFonts w:ascii="Times New Roman CYR" w:hAnsi="Times New Roman CYR" w:cs="Times New Roman CYR"/>
    </w:rPr>
  </w:style>
  <w:style w:type="character" w:styleId="notice-number3">
    <w:name w:val="notice-number3"/>
    <w:qFormat/>
    <w:rPr/>
  </w:style>
  <w:style w:type="character" w:styleId="Style18">
    <w:name w:val="Нижний колонтитул Знак"/>
    <w:qFormat/>
    <w:rPr>
      <w:sz w:val="24"/>
      <w:szCs w:val="24"/>
    </w:rPr>
  </w:style>
  <w:style w:type="character" w:styleId="Style19">
    <w:name w:val="Абзац списка Знак"/>
    <w:qFormat/>
    <w:rPr>
      <w:rFonts w:ascii="Times New Roman CYR" w:hAnsi="Times New Roman CYR" w:cs="Times New Roman CYR"/>
    </w:rPr>
  </w:style>
  <w:style w:type="character" w:styleId="webofficeattributevalue1">
    <w:name w:val="webofficeattributevalue1"/>
    <w:qFormat/>
    <w:rPr>
      <w:rFonts w:ascii="Verdana" w:hAnsi="Verdana" w:cs="Verdana"/>
      <w:strike w:val="false"/>
      <w:dstrike w:val="false"/>
      <w:color w:val="000000"/>
      <w:sz w:val="18"/>
      <w:szCs w:val="18"/>
      <w:u w:val="none"/>
    </w:rPr>
  </w:style>
  <w:style w:type="character" w:styleId="defaultlabelstyle3">
    <w:name w:val="defaultlabelstyle3"/>
    <w:qFormat/>
    <w:rPr>
      <w:rFonts w:ascii="Verdana" w:hAnsi="Verdana" w:cs="Verdana"/>
      <w:b w:val="false"/>
      <w:bCs w:val="false"/>
      <w:color w:val="333333"/>
    </w:rPr>
  </w:style>
  <w:style w:type="character" w:styleId="5">
    <w:name w:val="Заголовок 5 Знак"/>
    <w:qFormat/>
    <w:rPr>
      <w:rFonts w:eastAsia="Calibri"/>
      <w:b/>
      <w:bCs/>
      <w:sz w:val="26"/>
      <w:szCs w:val="26"/>
      <w:lang w:val="en-US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>
      <w:overflowPunct w:val="false"/>
      <w:autoSpaceDE w:val="false"/>
      <w:spacing w:before="0" w:after="120"/>
      <w:textAlignment w:val="baseline"/>
    </w:pPr>
    <w:rPr>
      <w:rFonts w:ascii="Times New Roman CYR" w:hAnsi="Times New Roman CYR" w:cs="Times New Roman CYR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ind w:hanging="0" w:start="360" w:end="0"/>
      <w:jc w:val="both"/>
    </w:pPr>
    <w:rPr/>
  </w:style>
  <w:style w:type="paragraph" w:styleId="Style21">
    <w:name w:val="Нумерованный список"/>
    <w:basedOn w:val="Normal"/>
    <w:qFormat/>
    <w:pPr>
      <w:tabs>
        <w:tab w:val="clear" w:pos="708"/>
        <w:tab w:val="left" w:pos="1134" w:leader="none"/>
      </w:tabs>
      <w:autoSpaceDE w:val="false"/>
      <w:spacing w:lineRule="auto" w:line="360" w:before="60" w:after="0"/>
      <w:ind w:firstLine="567" w:start="0" w:end="0"/>
      <w:jc w:val="both"/>
    </w:pPr>
    <w:rPr>
      <w:bCs/>
      <w:sz w:val="22"/>
    </w:rPr>
  </w:style>
  <w:style w:type="paragraph" w:styleId="21">
    <w:name w:val="Основной текст с отступом 2"/>
    <w:basedOn w:val="Normal"/>
    <w:qFormat/>
    <w:pPr>
      <w:overflowPunct w:val="false"/>
      <w:autoSpaceDE w:val="false"/>
      <w:ind w:firstLine="720" w:start="360" w:end="0"/>
      <w:jc w:val="both"/>
      <w:textAlignment w:val="baseline"/>
    </w:pPr>
    <w:rPr>
      <w:rFonts w:ascii="Times New Roman CYR" w:hAnsi="Times New Roman CYR" w:cs="Times New Roman CYR"/>
      <w:szCs w:val="20"/>
      <w:lang w:val="en-US"/>
    </w:rPr>
  </w:style>
  <w:style w:type="paragraph" w:styleId="31">
    <w:name w:val="Основной текст 3"/>
    <w:basedOn w:val="Normal"/>
    <w:qFormat/>
    <w:pPr>
      <w:spacing w:before="0" w:after="120"/>
    </w:pPr>
    <w:rPr>
      <w:sz w:val="16"/>
      <w:szCs w:val="16"/>
      <w:lang w:val="en-US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lang w:val="en-US"/>
    </w:rPr>
  </w:style>
  <w:style w:type="paragraph" w:styleId="Style22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Style23">
    <w:name w:val="Абзац списка"/>
    <w:basedOn w:val="Normal"/>
    <w:qFormat/>
    <w:pPr>
      <w:overflowPunct w:val="false"/>
      <w:autoSpaceDE w:val="false"/>
      <w:spacing w:before="0" w:after="0"/>
      <w:ind w:hanging="0" w:start="720" w:end="0"/>
      <w:contextualSpacing/>
      <w:textAlignment w:val="baseline"/>
    </w:pPr>
    <w:rPr>
      <w:rFonts w:ascii="Times New Roman CYR" w:hAnsi="Times New Roman CYR" w:cs="Times New Roman CYR"/>
      <w:sz w:val="20"/>
      <w:szCs w:val="20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imes12">
    <w:name w:val="Times 12"/>
    <w:basedOn w:val="Normal"/>
    <w:qFormat/>
    <w:pPr>
      <w:overflowPunct w:val="false"/>
      <w:autoSpaceDE w:val="false"/>
      <w:ind w:firstLine="567" w:start="0" w:end="0"/>
      <w:jc w:val="both"/>
    </w:pPr>
    <w:rPr>
      <w:bCs/>
      <w:szCs w:val="22"/>
    </w:rPr>
  </w:style>
  <w:style w:type="paragraph" w:styleId="Style24">
    <w:name w:val="Документ"/>
    <w:basedOn w:val="Normal"/>
    <w:qFormat/>
    <w:pPr>
      <w:autoSpaceDE w:val="false"/>
      <w:ind w:firstLine="720" w:start="0" w:end="0"/>
      <w:jc w:val="both"/>
    </w:pPr>
    <w:rPr>
      <w:sz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2023-03-21T11:06:00Z</dcterms:created>
  <dc:creator>MarkovPV</dc:creator>
  <dc:description/>
  <cp:keywords/>
  <dc:language>en-US</dc:language>
  <cp:lastModifiedBy>Голубева Мария Викторовна</cp:lastModifiedBy>
  <cp:lastPrinted>2024-07-30T14:10:00Z</cp:lastPrinted>
  <dcterms:modified xsi:type="dcterms:W3CDTF">2025-03-03T09:38:00Z</dcterms:modified>
  <cp:revision>91</cp:revision>
  <dc:subject/>
  <dc:title>УТВЕРЖДАЮ</dc:title>
</cp:coreProperties>
</file>