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0" w:before="0" w:after="0"/>
        <w:ind w:hanging="0" w:start="0" w:end="0"/>
        <w:jc w:val="center"/>
        <w:rPr>
          <w:rFonts w:ascii="Arial" w:hAnsi="Arial"/>
          <w:sz w:val="20"/>
        </w:rPr>
      </w:pPr>
      <w:r>
        <w:rPr>
          <w:rFonts w:ascii="Times New Roman" w:hAnsi="Times New Roman"/>
          <w:b/>
          <w:sz w:val="24"/>
        </w:rPr>
        <w:t xml:space="preserve">Протокол </w:t>
        <w:br/>
        <w:t xml:space="preserve">Рассмотрения заявок на участие в процедуре </w:t>
        <w:br/>
        <w:t>32514502709</w:t>
      </w:r>
    </w:p>
    <w:tbl>
      <w:tblPr>
        <w:tblW w:w="10228" w:type="dxa"/>
        <w:jc w:val="start"/>
        <w:tblInd w:w="3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095"/>
        <w:gridCol w:w="5133"/>
      </w:tblGrid>
      <w:tr>
        <w:trPr>
          <w:trHeight w:val="100" w:hRule="atLeast"/>
        </w:trPr>
        <w:tc>
          <w:tcPr>
            <w:tcW w:w="5095" w:type="dxa"/>
            <w:tcBorders/>
          </w:tcPr>
          <w:p>
            <w:pPr>
              <w:pStyle w:val="Normal"/>
              <w:bidi w:val="0"/>
              <w:jc w:val="star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</w:r>
          </w:p>
        </w:tc>
        <w:tc>
          <w:tcPr>
            <w:tcW w:w="5133" w:type="dxa"/>
            <w:tcBorders/>
          </w:tcPr>
          <w:p>
            <w:pPr>
              <w:pStyle w:val="Normal"/>
              <w:tabs>
                <w:tab w:val="clear" w:pos="720"/>
              </w:tabs>
              <w:bidi w:val="0"/>
              <w:jc w:val="end"/>
              <w:rPr/>
            </w:pPr>
            <w:r>
              <w:rPr>
                <w:rFonts w:ascii="Times New Roman" w:hAnsi="Times New Roman"/>
                <w:sz w:val="24"/>
              </w:rPr>
              <w:t>«03» марта 2025 г.</w:t>
            </w:r>
          </w:p>
        </w:tc>
      </w:tr>
    </w:tbl>
    <w:p>
      <w:pPr>
        <w:pStyle w:val="Normal"/>
        <w:bidi w:val="0"/>
        <w:spacing w:lineRule="atLeast" w:line="0" w:before="0" w:after="0"/>
        <w:ind w:firstLine="567" w:start="0" w:end="0"/>
        <w:jc w:val="both"/>
        <w:rPr>
          <w:rFonts w:ascii="Arial" w:hAnsi="Arial"/>
          <w:sz w:val="20"/>
        </w:rPr>
      </w:pPr>
      <w:r>
        <w:rPr>
          <w:rFonts w:ascii="Times New Roman" w:hAnsi="Times New Roman"/>
          <w:sz w:val="24"/>
        </w:rPr>
        <w:t>Организатором является: КРАЕВОЕ ГОСУДАРСТВЕННОЕ БЮДЖЕТНОЕ УЧРЕЖДЕНИЕ ЗДРАВООХРАНЕНИЯ "КРАСНОЯРСКИЙ КРАЕВОЙ НАРКОЛОГИЧЕСКИЙ ДИСПАНСЕР № 1"</w:t>
      </w:r>
    </w:p>
    <w:p>
      <w:pPr>
        <w:pStyle w:val="Normal"/>
        <w:bidi w:val="0"/>
        <w:spacing w:lineRule="atLeast" w:line="0" w:before="0" w:after="0"/>
        <w:ind w:firstLine="567" w:start="0" w:end="0"/>
        <w:jc w:val="both"/>
        <w:rPr>
          <w:rFonts w:ascii="Arial" w:hAnsi="Arial"/>
          <w:sz w:val="20"/>
        </w:rPr>
      </w:pPr>
      <w:r>
        <w:rPr>
          <w:rFonts w:ascii="Times New Roman" w:hAnsi="Times New Roman"/>
          <w:b/>
          <w:sz w:val="24"/>
        </w:rPr>
        <w:t>1.</w:t>
      </w:r>
      <w:r>
        <w:rPr>
          <w:rFonts w:ascii="Times New Roman" w:hAnsi="Times New Roman"/>
          <w:b w:val="false"/>
          <w:sz w:val="24"/>
        </w:rPr>
        <w:t xml:space="preserve"> Наименование процедуры и предмет договора: </w:t>
        <w:br/>
        <w:t>Поставка аппарата для низкочастотной магнитотерапии для нужд КГБУЗ «Красноярский краевой наркологический диспансер № 1» в 2025 г., лот №1: Поставка аппарата для низкочастотной магнитотерапии для нужд КГБУЗ «Красноярский краевой наркологический диспансер № 1» в 2025 г.</w:t>
      </w:r>
    </w:p>
    <w:p>
      <w:pPr>
        <w:pStyle w:val="Normal"/>
        <w:bidi w:val="0"/>
        <w:spacing w:lineRule="atLeast" w:line="0" w:before="0" w:after="0"/>
        <w:ind w:firstLine="567" w:start="0" w:end="0"/>
        <w:jc w:val="both"/>
        <w:rPr>
          <w:rFonts w:ascii="Arial" w:hAnsi="Arial"/>
          <w:sz w:val="20"/>
        </w:rPr>
      </w:pPr>
      <w:r>
        <w:rPr>
          <w:rFonts w:ascii="Times New Roman" w:hAnsi="Times New Roman"/>
          <w:b/>
          <w:sz w:val="24"/>
        </w:rPr>
        <w:t>2.</w:t>
      </w:r>
      <w:r>
        <w:rPr>
          <w:rFonts w:ascii="Times New Roman" w:hAnsi="Times New Roman"/>
          <w:b w:val="false"/>
          <w:sz w:val="24"/>
        </w:rPr>
        <w:t xml:space="preserve"> Начальная цена договора: </w:t>
        <w:br/>
        <w:t xml:space="preserve">373 773 руб. </w:t>
      </w:r>
    </w:p>
    <w:p>
      <w:pPr>
        <w:pStyle w:val="Normal"/>
        <w:bidi w:val="0"/>
        <w:spacing w:lineRule="atLeast" w:line="0" w:before="0" w:after="0"/>
        <w:ind w:firstLine="567" w:start="0" w:end="0"/>
        <w:jc w:val="both"/>
        <w:rPr>
          <w:rFonts w:ascii="Arial" w:hAnsi="Arial"/>
          <w:sz w:val="20"/>
        </w:rPr>
      </w:pPr>
      <w:r>
        <w:rPr>
          <w:rFonts w:ascii="Times New Roman" w:hAnsi="Times New Roman"/>
          <w:b/>
          <w:sz w:val="24"/>
        </w:rPr>
        <w:t>3.</w:t>
      </w:r>
      <w:r>
        <w:rPr>
          <w:rFonts w:ascii="Times New Roman" w:hAnsi="Times New Roman"/>
          <w:b w:val="false"/>
          <w:sz w:val="24"/>
        </w:rPr>
        <w:t xml:space="preserve"> Извещение и документация о проведении настоящей процедуры были размещены «12» февраля 2025 года на сайте ЭТП ГПБ, по адресу в сети «Интернет»: https://etp.gpb.ru.</w:t>
      </w:r>
    </w:p>
    <w:p>
      <w:pPr>
        <w:pStyle w:val="Normal"/>
        <w:bidi w:val="0"/>
        <w:spacing w:lineRule="atLeast" w:line="0" w:before="0" w:after="0"/>
        <w:ind w:firstLine="567" w:start="0" w:end="0"/>
        <w:jc w:val="both"/>
        <w:rPr>
          <w:rFonts w:ascii="Arial" w:hAnsi="Arial"/>
          <w:sz w:val="20"/>
        </w:rPr>
      </w:pPr>
      <w:r>
        <w:rPr>
          <w:rFonts w:ascii="Times New Roman" w:hAnsi="Times New Roman"/>
          <w:b/>
          <w:sz w:val="24"/>
        </w:rPr>
        <w:t>4.</w:t>
      </w:r>
      <w:r>
        <w:rPr>
          <w:rFonts w:ascii="Times New Roman" w:hAnsi="Times New Roman"/>
          <w:b w:val="false"/>
          <w:sz w:val="24"/>
        </w:rPr>
        <w:t xml:space="preserve"> Состав комиссии. </w:t>
        <w:br/>
        <w:t>На заседании комиссии (1), при рассмотрении заявок на участие присутствовали:</w:t>
      </w:r>
    </w:p>
    <w:p>
      <w:pPr>
        <w:pStyle w:val="Normal"/>
        <w:bidi w:val="0"/>
        <w:spacing w:lineRule="atLeast" w:line="0" w:before="0" w:after="0"/>
        <w:ind w:firstLine="567" w:start="0" w:end="0"/>
        <w:jc w:val="both"/>
        <w:rPr>
          <w:rFonts w:ascii="Arial" w:hAnsi="Arial"/>
          <w:sz w:val="20"/>
        </w:rPr>
      </w:pPr>
      <w:r>
        <w:rPr>
          <w:rFonts w:ascii="Times New Roman" w:hAnsi="Times New Roman"/>
          <w:b/>
          <w:sz w:val="24"/>
        </w:rPr>
        <w:t>5.</w:t>
      </w:r>
      <w:r>
        <w:rPr>
          <w:rFonts w:ascii="Times New Roman" w:hAnsi="Times New Roman"/>
          <w:b w:val="false"/>
          <w:sz w:val="24"/>
        </w:rPr>
        <w:t xml:space="preserve"> По окончании срока подачи заявок до 06 часов 00 минут (время московское) «03» марта 2025 года было подано 1 заявка от участников, с порядковыми номерами: 1.</w:t>
      </w:r>
    </w:p>
    <w:p>
      <w:pPr>
        <w:pStyle w:val="Normal"/>
        <w:bidi w:val="0"/>
        <w:spacing w:lineRule="atLeast" w:line="0" w:before="0" w:after="0"/>
        <w:ind w:firstLine="567" w:start="0" w:end="0"/>
        <w:jc w:val="both"/>
        <w:rPr>
          <w:rFonts w:ascii="Arial" w:hAnsi="Arial"/>
          <w:sz w:val="20"/>
        </w:rPr>
      </w:pPr>
      <w:r>
        <w:rPr>
          <w:rFonts w:ascii="Times New Roman" w:hAnsi="Times New Roman"/>
          <w:b/>
          <w:sz w:val="24"/>
        </w:rPr>
        <w:t>6.</w:t>
      </w:r>
      <w:r>
        <w:rPr>
          <w:rFonts w:ascii="Times New Roman" w:hAnsi="Times New Roman"/>
          <w:b w:val="false"/>
          <w:sz w:val="24"/>
        </w:rPr>
        <w:t xml:space="preserve"> Комиссия рассмотрела заявки на участие в процедуре </w:t>
      </w:r>
      <w:r>
        <w:rPr>
          <w:rFonts w:ascii="Times New Roman" w:hAnsi="Times New Roman"/>
          <w:b/>
          <w:sz w:val="24"/>
        </w:rPr>
        <w:t>32514502709</w:t>
      </w:r>
      <w:r>
        <w:rPr>
          <w:rFonts w:ascii="Times New Roman" w:hAnsi="Times New Roman"/>
          <w:b w:val="false"/>
          <w:sz w:val="24"/>
        </w:rPr>
        <w:t xml:space="preserve"> и приняла решение:</w:t>
      </w:r>
    </w:p>
    <w:p>
      <w:pPr>
        <w:pStyle w:val="Normal"/>
        <w:bidi w:val="0"/>
        <w:spacing w:lineRule="atLeast" w:line="0" w:before="0" w:after="0"/>
        <w:ind w:firstLine="567" w:start="0" w:end="0"/>
        <w:jc w:val="both"/>
        <w:rPr>
          <w:rFonts w:ascii="Arial" w:hAnsi="Arial"/>
          <w:sz w:val="20"/>
        </w:rPr>
      </w:pPr>
      <w:r>
        <w:rPr>
          <w:rFonts w:ascii="Times New Roman" w:hAnsi="Times New Roman"/>
          <w:b/>
          <w:sz w:val="24"/>
        </w:rPr>
        <w:t>6.1.</w:t>
      </w:r>
      <w:r>
        <w:rPr>
          <w:rFonts w:ascii="Times New Roman" w:hAnsi="Times New Roman"/>
          <w:b w:val="false"/>
          <w:sz w:val="24"/>
        </w:rPr>
        <w:t xml:space="preserve"> Допустить к участию в процедуре и признать участниками процедуры следующих участников:</w:t>
      </w:r>
    </w:p>
    <w:tbl>
      <w:tblPr>
        <w:tblW w:w="10227" w:type="dxa"/>
        <w:jc w:val="start"/>
        <w:tblInd w:w="41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664"/>
        <w:gridCol w:w="1701"/>
        <w:gridCol w:w="6862"/>
      </w:tblGrid>
      <w:tr>
        <w:trPr>
          <w:trHeight w:val="100" w:hRule="atLeast"/>
          <w:cantSplit w:val="true"/>
        </w:trPr>
        <w:tc>
          <w:tcPr>
            <w:tcW w:w="1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Порядковый номер заявки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Статус допуска</w:t>
            </w:r>
          </w:p>
        </w:tc>
        <w:tc>
          <w:tcPr>
            <w:tcW w:w="6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Основание для решения</w:t>
            </w:r>
          </w:p>
        </w:tc>
      </w:tr>
      <w:tr>
        <w:trPr>
          <w:trHeight w:val="100" w:hRule="atLeast"/>
          <w:cantSplit w:val="true"/>
        </w:trPr>
        <w:tc>
          <w:tcPr>
            <w:tcW w:w="16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/>
            </w:pPr>
            <w:r>
              <w:rPr>
                <w:rFonts w:ascii="Times New Roman" w:hAnsi="Times New Roman"/>
                <w:sz w:val="24"/>
              </w:rPr>
              <w:t>Допустить</w:t>
            </w:r>
          </w:p>
        </w:tc>
        <w:tc>
          <w:tcPr>
            <w:tcW w:w="68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jc w:val="start"/>
              <w:rPr/>
            </w:pPr>
            <w:r>
              <w:rPr>
                <w:rFonts w:ascii="Times New Roman" w:hAnsi="Times New Roman"/>
                <w:sz w:val="24"/>
              </w:rPr>
              <w:t>Состав документов участника процедуры соответствует требованиям документации</w:t>
            </w:r>
          </w:p>
        </w:tc>
      </w:tr>
    </w:tbl>
    <w:p>
      <w:pPr>
        <w:pStyle w:val="Normal"/>
        <w:bidi w:val="0"/>
        <w:spacing w:lineRule="atLeast" w:line="0" w:before="0" w:after="0"/>
        <w:ind w:firstLine="567" w:start="0" w:end="0"/>
        <w:jc w:val="both"/>
        <w:rPr>
          <w:rFonts w:ascii="Arial" w:hAnsi="Arial"/>
          <w:sz w:val="20"/>
        </w:rPr>
      </w:pPr>
      <w:r>
        <w:rPr>
          <w:rFonts w:ascii="Times New Roman" w:hAnsi="Times New Roman"/>
          <w:sz w:val="24"/>
        </w:rPr>
        <w:t>Сведения о решении каждого члена комиссии о допуске участников к участию в процедуре:</w:t>
      </w:r>
    </w:p>
    <w:tbl>
      <w:tblPr>
        <w:tblW w:w="10227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949"/>
        <w:gridCol w:w="4139"/>
        <w:gridCol w:w="4139"/>
      </w:tblGrid>
      <w:tr>
        <w:trPr>
          <w:trHeight w:val="100" w:hRule="atLeast"/>
        </w:trPr>
        <w:tc>
          <w:tcPr>
            <w:tcW w:w="194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bidi w:val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ФИО членов комиссии</w:t>
            </w:r>
          </w:p>
        </w:tc>
        <w:tc>
          <w:tcPr>
            <w:tcW w:w="827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Участник №1</w:t>
            </w:r>
          </w:p>
        </w:tc>
      </w:tr>
      <w:tr>
        <w:trPr>
          <w:trHeight w:val="100" w:hRule="atLeast"/>
        </w:trPr>
        <w:tc>
          <w:tcPr>
            <w:tcW w:w="1949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bidi w:val="0"/>
              <w:jc w:val="start"/>
              <w:rPr>
                <w:rFonts w:ascii="Arial" w:hAnsi="Arial"/>
                <w:b w:val="false"/>
                <w:sz w:val="20"/>
              </w:rPr>
            </w:pPr>
            <w:r>
              <w:rPr>
                <w:rFonts w:ascii="Arial" w:hAnsi="Arial"/>
                <w:b w:val="false"/>
                <w:sz w:val="20"/>
              </w:rPr>
            </w:r>
          </w:p>
        </w:tc>
        <w:tc>
          <w:tcPr>
            <w:tcW w:w="4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Решение</w:t>
            </w:r>
          </w:p>
        </w:tc>
        <w:tc>
          <w:tcPr>
            <w:tcW w:w="41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Основание</w:t>
            </w:r>
          </w:p>
        </w:tc>
      </w:tr>
      <w:tr>
        <w:trPr>
          <w:trHeight w:val="100" w:hRule="atLeast"/>
        </w:trPr>
        <w:tc>
          <w:tcPr>
            <w:tcW w:w="1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bidi w:val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ИТОГО</w:t>
            </w:r>
          </w:p>
        </w:tc>
        <w:tc>
          <w:tcPr>
            <w:tcW w:w="827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/>
            </w:pPr>
            <w:r>
              <w:rPr>
                <w:rFonts w:ascii="Times New Roman" w:hAnsi="Times New Roman"/>
                <w:b w:val="false"/>
                <w:sz w:val="24"/>
              </w:rPr>
              <w:t>0</w:t>
            </w:r>
          </w:p>
        </w:tc>
      </w:tr>
      <w:tr>
        <w:trPr>
          <w:trHeight w:val="100" w:hRule="atLeast"/>
        </w:trPr>
        <w:tc>
          <w:tcPr>
            <w:tcW w:w="1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bidi w:val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Допустить</w:t>
            </w:r>
          </w:p>
        </w:tc>
        <w:tc>
          <w:tcPr>
            <w:tcW w:w="827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/>
            </w:pPr>
            <w:r>
              <w:rPr>
                <w:rFonts w:ascii="Times New Roman" w:hAnsi="Times New Roman"/>
                <w:b w:val="false"/>
                <w:sz w:val="24"/>
              </w:rPr>
              <w:t>0</w:t>
            </w:r>
          </w:p>
        </w:tc>
      </w:tr>
      <w:tr>
        <w:trPr>
          <w:trHeight w:val="100" w:hRule="atLeast"/>
        </w:trPr>
        <w:tc>
          <w:tcPr>
            <w:tcW w:w="19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true"/>
              <w:keepLines/>
              <w:bidi w:val="0"/>
              <w:jc w:val="center"/>
              <w:rPr/>
            </w:pPr>
            <w:r>
              <w:rPr>
                <w:rFonts w:ascii="Times New Roman" w:hAnsi="Times New Roman"/>
                <w:b/>
                <w:sz w:val="24"/>
              </w:rPr>
              <w:t>Отклонить</w:t>
            </w:r>
          </w:p>
        </w:tc>
        <w:tc>
          <w:tcPr>
            <w:tcW w:w="827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</w:tabs>
              <w:bidi w:val="0"/>
              <w:jc w:val="center"/>
              <w:rPr/>
            </w:pPr>
            <w:r>
              <w:rPr>
                <w:rFonts w:ascii="Times New Roman" w:hAnsi="Times New Roman"/>
                <w:b w:val="false"/>
                <w:sz w:val="24"/>
              </w:rPr>
              <w:t>0</w:t>
            </w:r>
          </w:p>
        </w:tc>
      </w:tr>
    </w:tbl>
    <w:p>
      <w:pPr>
        <w:pStyle w:val="Normal"/>
        <w:bidi w:val="0"/>
        <w:spacing w:lineRule="atLeast" w:line="0" w:before="0" w:after="0"/>
        <w:ind w:firstLine="567" w:start="0" w:end="0"/>
        <w:jc w:val="both"/>
        <w:rPr>
          <w:rFonts w:ascii="Arial" w:hAnsi="Arial"/>
          <w:b w:val="false"/>
          <w:sz w:val="20"/>
        </w:rPr>
      </w:pPr>
      <w:r>
        <w:rPr>
          <w:rFonts w:ascii="Times New Roman" w:hAnsi="Times New Roman"/>
          <w:b/>
          <w:sz w:val="24"/>
        </w:rPr>
        <w:t>7.</w:t>
      </w:r>
      <w:r>
        <w:rPr>
          <w:rFonts w:ascii="Times New Roman" w:hAnsi="Times New Roman"/>
          <w:b w:val="false"/>
          <w:sz w:val="24"/>
        </w:rPr>
        <w:t xml:space="preserve"> Процедура 32514502709, лот №1 была признана неcостоявшейся так как На участие в закупке подана только одна заявка ОБЩЕСТВО С ОГРАНИЧЕННОЙ ОТВЕТСТВЕННОСТЬЮ "ХЭЛСМЕД".</w:t>
      </w:r>
    </w:p>
    <w:p>
      <w:pPr>
        <w:pStyle w:val="Normal"/>
        <w:bidi w:val="0"/>
        <w:spacing w:lineRule="atLeast" w:line="0" w:before="0" w:after="0"/>
        <w:ind w:firstLine="567" w:start="0" w:end="0"/>
        <w:jc w:val="both"/>
        <w:rPr>
          <w:rFonts w:ascii="Arial" w:hAnsi="Arial"/>
          <w:b w:val="false"/>
          <w:sz w:val="20"/>
        </w:rPr>
      </w:pPr>
      <w:r>
        <w:rPr>
          <w:rFonts w:ascii="Times New Roman" w:hAnsi="Times New Roman"/>
          <w:b/>
          <w:sz w:val="24"/>
        </w:rPr>
        <w:t>8.</w:t>
      </w:r>
      <w:r>
        <w:rPr>
          <w:rFonts w:ascii="Times New Roman" w:hAnsi="Times New Roman"/>
          <w:b w:val="false"/>
          <w:sz w:val="24"/>
        </w:rPr>
        <w:t xml:space="preserve"> Настоящий протокол рассмотрения заявок направлен на сайт ЭТП ГПБ, по адресу в сети «Интернет»: </w:t>
      </w:r>
      <w:hyperlink w:anchor="https%3A%2F%2Fetp.gpb.ru">
        <w:r>
          <w:rPr>
            <w:rStyle w:val="Style9"/>
            <w:rFonts w:ascii="Times New Roman" w:hAnsi="Times New Roman"/>
            <w:b w:val="false"/>
            <w:sz w:val="24"/>
          </w:rPr>
          <w:t>https://etp.gpb.ru</w:t>
        </w:r>
      </w:hyperlink>
      <w:r>
        <w:rPr>
          <w:rFonts w:ascii="Times New Roman" w:hAnsi="Times New Roman"/>
          <w:b w:val="false"/>
          <w:sz w:val="24"/>
        </w:rPr>
        <w:t>.</w:t>
      </w:r>
    </w:p>
    <w:sectPr>
      <w:type w:val="nextPage"/>
      <w:pgSz w:w="11906" w:h="16838"/>
      <w:pgMar w:left="1077" w:right="567" w:gutter="0" w:header="0" w:top="1077" w:footer="0" w:bottom="964"/>
      <w:pgNumType w:start="1" w:fmt="decimal"/>
      <w:formProt w:val="false"/>
      <w:textDirection w:val="lrTb"/>
      <w:docGrid w:type="default" w:linePitch="100" w:charSpace="429495910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paggard</dc:creator>
  <dc:description/>
  <dc:language>en-US</dc:language>
  <cp:lastModifiedBy/>
  <cp:revision>0</cp:revision>
  <dc:subject/>
  <dc:title>Paggard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paggard@dlight.ru</vt:lpwstr>
  </property>
</Properties>
</file>