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ПРОТОКОЛ №  5-ОК </w:t>
        <w:br/>
        <w:t>рассмотрения и оценки заявок на участие в конкурсе</w:t>
      </w:r>
    </w:p>
    <w:p>
      <w:pPr>
        <w:pStyle w:val="Normal"/>
        <w:spacing w:lineRule="atLeast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tLeast" w:line="240" w:before="0" w:after="0"/>
        <w:jc w:val="end"/>
        <w:rPr/>
      </w:pPr>
      <w:r>
        <w:rPr>
          <w:rFonts w:cs="Times New Roman" w:ascii="Times New Roman" w:hAnsi="Times New Roman"/>
        </w:rPr>
        <w:t xml:space="preserve">г. Екатеринбург                                                                                                     </w:t>
      </w: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</w:rPr>
        <w:t xml:space="preserve"> "28" февраля 2025 года</w:t>
      </w:r>
    </w:p>
    <w:p>
      <w:pPr>
        <w:pStyle w:val="Normal"/>
        <w:spacing w:lineRule="atLeast" w:line="240" w:before="0" w:after="0"/>
        <w:jc w:val="both"/>
        <w:rPr>
          <w:rFonts w:ascii="Times New Roman" w:hAnsi="Times New Roman" w:cs="Times New Roman"/>
          <w:i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BodyTextIndent"/>
        <w:numPr>
          <w:ilvl w:val="0"/>
          <w:numId w:val="0"/>
        </w:numPr>
        <w:spacing w:lineRule="atLeast" w:line="240"/>
        <w:ind w:hanging="0" w:start="0" w:end="0"/>
        <w:jc w:val="start"/>
        <w:outlineLvl w:val="0"/>
        <w:rPr>
          <w:rStyle w:val="Strong"/>
          <w:b w:val="false"/>
          <w:sz w:val="22"/>
          <w:szCs w:val="22"/>
        </w:rPr>
      </w:pPr>
      <w:r>
        <w:rPr>
          <w:rStyle w:val="Strong"/>
          <w:sz w:val="22"/>
          <w:szCs w:val="22"/>
        </w:rPr>
        <w:t>1. Заказчик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</w:rPr>
        <w:t>Федеральное</w:t>
      </w:r>
      <w:r>
        <w:rPr>
          <w:rFonts w:cs="Times New Roman" w:ascii="Times New Roman" w:hAnsi="Times New Roman"/>
          <w:b/>
        </w:rPr>
        <w:t xml:space="preserve"> </w:t>
      </w:r>
      <w:r>
        <w:rPr>
          <w:rFonts w:cs="Times New Roman" w:ascii="Times New Roman" w:hAnsi="Times New Roman"/>
        </w:rPr>
        <w:t>Государственное бюджетное образовательное учреждение высшего образования «Уральский государственный университет путей сообщения» (далее – ФГБОУ ВО УрГУПС).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</w:rPr>
        <w:t xml:space="preserve">Место нахождения  Заказчика: Российская Федерация, г. Екатеринбург, ул. Колмогорова, д.66. </w:t>
      </w:r>
    </w:p>
    <w:p>
      <w:pPr>
        <w:pStyle w:val="11"/>
        <w:spacing w:before="0" w:after="60"/>
        <w:ind w:end="0"/>
        <w:jc w:val="both"/>
        <w:rPr>
          <w:rFonts w:eastAsia="Calibri"/>
          <w:b w:val="false"/>
          <w:szCs w:val="22"/>
          <w:lang w:eastAsia="en-US"/>
        </w:rPr>
      </w:pPr>
      <w:r>
        <w:rPr>
          <w:rFonts w:eastAsia="Calibri"/>
          <w:b w:val="false"/>
          <w:szCs w:val="22"/>
          <w:lang w:eastAsia="en-US"/>
        </w:rPr>
        <w:t>Почтовый адрес Заказчика: 620034, г. Екатеринбург, ул. Колмогорова, д.66.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Адрес электронной почты:  </w:t>
      </w:r>
      <w:hyperlink r:id="rId2">
        <w:r>
          <w:rPr>
            <w:rStyle w:val="Hyperlink"/>
            <w:rFonts w:cs="Times New Roman" w:ascii="Times New Roman" w:hAnsi="Times New Roman"/>
          </w:rPr>
          <w:t>goszakaz@usurt.ru</w:t>
        </w:r>
      </w:hyperlink>
      <w:r>
        <w:rPr>
          <w:rFonts w:cs="Times New Roman" w:ascii="Times New Roman" w:hAnsi="Times New Roman"/>
        </w:rPr>
        <w:t xml:space="preserve"> </w:t>
      </w:r>
    </w:p>
    <w:p>
      <w:pPr>
        <w:pStyle w:val="BodyTextIndent"/>
        <w:numPr>
          <w:ilvl w:val="0"/>
          <w:numId w:val="0"/>
        </w:numPr>
        <w:spacing w:lineRule="atLeast" w:line="240"/>
        <w:ind w:hanging="0" w:start="0" w:end="0"/>
        <w:jc w:val="start"/>
        <w:outlineLvl w:val="0"/>
        <w:rPr/>
      </w:pPr>
      <w:r>
        <w:rPr>
          <w:rStyle w:val="Strong"/>
          <w:sz w:val="22"/>
          <w:szCs w:val="22"/>
        </w:rPr>
        <w:t>2. Существенные условия контракта / договора</w:t>
      </w:r>
    </w:p>
    <w:p>
      <w:pPr>
        <w:pStyle w:val="Normal"/>
        <w:spacing w:lineRule="atLeast" w:line="240" w:before="0" w:after="0"/>
        <w:jc w:val="both"/>
        <w:rPr>
          <w:rStyle w:val="Strong"/>
          <w:rFonts w:ascii="Times New Roman" w:hAnsi="Times New Roman" w:cs="Times New Roman"/>
          <w:b/>
          <w:sz w:val="22"/>
          <w:szCs w:val="22"/>
        </w:rPr>
      </w:pPr>
      <w:r>
        <w:rPr/>
      </w:r>
    </w:p>
    <w:p>
      <w:pPr>
        <w:pStyle w:val="Style18"/>
        <w:shd w:fill="FFFFFF" w:val="clear"/>
        <w:spacing w:before="0" w:after="0"/>
        <w:rPr/>
      </w:pPr>
      <w:r>
        <w:rPr>
          <w:i/>
        </w:rPr>
        <w:t xml:space="preserve">Наименование предмета: </w:t>
      </w:r>
      <w:r>
        <w:rPr>
          <w:i/>
          <w:color w:val="0000FF"/>
          <w:sz w:val="22"/>
          <w:szCs w:val="22"/>
        </w:rPr>
        <w:t xml:space="preserve">на поставку </w:t>
      </w:r>
      <w:r>
        <w:rPr>
          <w:color w:val="0000FF"/>
          <w:sz w:val="21"/>
          <w:szCs w:val="21"/>
        </w:rPr>
        <w:t>колбасных изделий</w:t>
      </w:r>
    </w:p>
    <w:p>
      <w:pPr>
        <w:pStyle w:val="Style18"/>
        <w:shd w:fill="FFFFFF" w:val="clear"/>
        <w:spacing w:before="0" w:after="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</w:r>
    </w:p>
    <w:p>
      <w:pPr>
        <w:pStyle w:val="BodyText"/>
        <w:rPr/>
      </w:pPr>
      <w:r>
        <w:rPr>
          <w:i w:val="false"/>
          <w:sz w:val="22"/>
          <w:szCs w:val="22"/>
        </w:rPr>
        <w:t xml:space="preserve">Информация о месте доставки товара, являющегося предметом контракта, месте выполнения работы или оказания услуги, являющихся предметом контракта: </w:t>
      </w:r>
      <w:r>
        <w:rPr>
          <w:bCs w:val="false"/>
          <w:i w:val="false"/>
          <w:color w:val="0000FF"/>
        </w:rPr>
        <w:t>Российская Федерация, г. Екатеринбург, ул. Колмогорова, д.66.</w:t>
      </w:r>
    </w:p>
    <w:p>
      <w:pPr>
        <w:pStyle w:val="BodyText"/>
        <w:rPr>
          <w:bCs w:val="false"/>
          <w:i w:val="false"/>
          <w:i w:val="false"/>
          <w:color w:val="0000FF"/>
          <w:sz w:val="22"/>
          <w:szCs w:val="22"/>
        </w:rPr>
      </w:pPr>
      <w:r>
        <w:rPr>
          <w:bCs w:val="false"/>
          <w:i w:val="false"/>
          <w:color w:val="0000FF"/>
          <w:sz w:val="22"/>
          <w:szCs w:val="22"/>
        </w:rPr>
      </w:r>
    </w:p>
    <w:p>
      <w:pPr>
        <w:pStyle w:val="Normal"/>
        <w:spacing w:lineRule="atLeast" w:line="240" w:before="0" w:after="0"/>
        <w:jc w:val="both"/>
        <w:rPr>
          <w:rFonts w:ascii="Times New Roman" w:hAnsi="Times New Roman" w:cs="Times New Roman"/>
          <w:color w:val="0000FF"/>
        </w:rPr>
      </w:pPr>
      <w:r>
        <w:rPr>
          <w:rFonts w:cs="Times New Roman" w:ascii="Times New Roman" w:hAnsi="Times New Roman"/>
          <w:lang w:val="en-US"/>
        </w:rPr>
        <w:t>Сроки поставки товара, выполнения работ, оказания услуг: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FF"/>
          <w:lang w:val="en-US"/>
        </w:rPr>
        <w:t xml:space="preserve"> с момента заключения договора по 23.06.2025 года в соответствии с графиком поставки.</w:t>
      </w:r>
    </w:p>
    <w:p>
      <w:pPr>
        <w:pStyle w:val="Normal"/>
        <w:spacing w:lineRule="atLeast" w:line="240" w:before="0" w:after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cs="Times New Roman" w:ascii="Times New Roman" w:hAnsi="Times New Roman"/>
          <w:color w:val="0000FF"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spacing w:lineRule="atLeast" w:line="240" w:before="0" w:after="0"/>
        <w:jc w:val="both"/>
        <w:outlineLvl w:val="0"/>
        <w:rPr>
          <w:rFonts w:ascii="Times New Roman" w:hAnsi="Times New Roman" w:eastAsia="Times New Roman" w:cs="Times New Roman"/>
          <w:bCs/>
          <w:kern w:val="2"/>
          <w:lang w:eastAsia="ru-RU"/>
        </w:rPr>
      </w:pPr>
      <w:r>
        <w:rPr>
          <w:rFonts w:eastAsia="Times New Roman" w:cs="Times New Roman" w:ascii="Times New Roman" w:hAnsi="Times New Roman"/>
          <w:bCs/>
          <w:kern w:val="2"/>
          <w:lang w:eastAsia="ru-RU"/>
        </w:rPr>
        <w:t>Порядок формирования цены договора (цены лота) (с учетом или без учета расходов на перевозку, страхование, уплату таможенных пошлин, налогов и других обязательных платежей): расходы поставщика, производимые им в процессе поставки продукции, в том числе расходы на тару, упаковку, доставку, разгрузку, маркировку, уплату налогов, таможенных пошлин, сборов и других обязательных платежей для данного вида товара.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bCs/>
          <w:kern w:val="2"/>
          <w:lang w:eastAsia="ru-RU"/>
        </w:rPr>
      </w:pPr>
      <w:r>
        <w:rPr>
          <w:rFonts w:eastAsia="Times New Roman" w:cs="Times New Roman" w:ascii="Times New Roman" w:hAnsi="Times New Roman"/>
          <w:bCs/>
          <w:kern w:val="2"/>
          <w:lang w:eastAsia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color w:val="0000FF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t>Начальная (максимальная) цена договора, в том числе обоснование начальной (максимальной) цены договора:</w:t>
      </w:r>
      <w:r>
        <w:rPr>
          <w:rFonts w:eastAsia="Times New Roman" w:cs="Times New Roman" w:ascii="Times New Roman" w:hAnsi="Times New Roman"/>
          <w:color w:val="0000FF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0000FF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FF"/>
          <w:lang w:eastAsia="ru-RU"/>
        </w:rPr>
        <w:t>3 977 295 (три миллиона девятьсот семьдесят семь тысяч двести девяносто пять) руб. 00 коп.</w:t>
      </w:r>
    </w:p>
    <w:p>
      <w:pPr>
        <w:pStyle w:val="BodyText"/>
        <w:rPr>
          <w:rFonts w:eastAsia="Times New Roman"/>
          <w:bCs w:val="false"/>
          <w:i w:val="false"/>
          <w:i w:val="false"/>
          <w:color w:val="0000FF"/>
          <w:lang w:eastAsia="ru-RU"/>
        </w:rPr>
      </w:pPr>
      <w:r>
        <w:rPr>
          <w:rFonts w:eastAsia="Times New Roman"/>
          <w:i w:val="false"/>
          <w:color w:val="0000FF"/>
          <w:lang w:eastAsia="ru-RU"/>
        </w:rPr>
        <w:t xml:space="preserve">                                             </w:t>
      </w:r>
    </w:p>
    <w:p>
      <w:pPr>
        <w:pStyle w:val="BodyText"/>
        <w:rPr/>
      </w:pPr>
      <w:r>
        <w:rPr>
          <w:i w:val="false"/>
          <w:sz w:val="22"/>
          <w:szCs w:val="22"/>
        </w:rPr>
        <w:t xml:space="preserve">Источник финансирования: </w:t>
      </w:r>
      <w:r>
        <w:rPr>
          <w:rFonts w:eastAsia="Times New Roman"/>
          <w:i w:val="false"/>
          <w:color w:val="0000FF"/>
          <w:lang w:eastAsia="ru-RU"/>
        </w:rPr>
        <w:t>Средства от приносящей доход деятельности</w:t>
      </w:r>
    </w:p>
    <w:p>
      <w:pPr>
        <w:pStyle w:val="BodyText"/>
        <w:rPr>
          <w:rFonts w:eastAsia="Times New Roman"/>
          <w:i w:val="false"/>
          <w:i w:val="false"/>
          <w:color w:val="0000FF"/>
          <w:sz w:val="22"/>
          <w:szCs w:val="22"/>
          <w:lang w:eastAsia="ru-RU"/>
        </w:rPr>
      </w:pPr>
      <w:r>
        <w:rPr>
          <w:rFonts w:eastAsia="Times New Roman"/>
          <w:i w:val="false"/>
          <w:color w:val="0000FF"/>
          <w:sz w:val="22"/>
          <w:szCs w:val="22"/>
          <w:lang w:eastAsia="ru-RU"/>
        </w:rPr>
      </w:r>
    </w:p>
    <w:p>
      <w:pPr>
        <w:pStyle w:val="Normal"/>
        <w:jc w:val="both"/>
        <w:rPr>
          <w:rFonts w:ascii="Times New Roman" w:hAnsi="Times New Roman" w:cs="Times New Roman"/>
          <w:color w:val="0000FF"/>
        </w:rPr>
      </w:pPr>
      <w:r>
        <w:rPr>
          <w:rFonts w:cs="Times New Roman" w:ascii="Times New Roman" w:hAnsi="Times New Roman"/>
        </w:rPr>
        <w:t xml:space="preserve">Форма, сроки и порядок оплаты товара, работ, услуг: </w:t>
      </w:r>
      <w:r>
        <w:rPr>
          <w:rFonts w:cs="Times New Roman" w:ascii="Times New Roman" w:hAnsi="Times New Roman"/>
          <w:color w:val="0000FF"/>
        </w:rPr>
        <w:t>Оплата производится в безналичной форме путем перечисления денежных средств на расчетный счет Поставщика в течение 7 (семи) рабочих дней по факту поставки товара на основании подписанного Заказчиком акта приемки-передачи товара (приложение к договору), предоставленного Поставщиком вместе с  товарной накладной, счётом и счет-фактурой (если оформление счет-фактуры предусмотрено ст. 169 гл.21НК РФ).</w:t>
      </w:r>
    </w:p>
    <w:p>
      <w:pPr>
        <w:pStyle w:val="Normal"/>
        <w:jc w:val="both"/>
        <w:rPr/>
      </w:pPr>
      <w:r>
        <w:rPr>
          <w:rStyle w:val="Strong"/>
          <w:rFonts w:cs="Times New Roman" w:ascii="Times New Roman" w:hAnsi="Times New Roman"/>
          <w:sz w:val="24"/>
          <w:szCs w:val="24"/>
        </w:rPr>
        <w:t>3. Дата, время проведения рассмотрения и оценки конкурсных заявок:</w:t>
      </w:r>
    </w:p>
    <w:p>
      <w:pPr>
        <w:pStyle w:val="Normal"/>
        <w:spacing w:lineRule="atLeast" w:line="240" w:before="0" w:after="0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4"/>
          <w:szCs w:val="24"/>
        </w:rPr>
        <w:t>Начато « 28 » февраля 2025 года в 15 ч. 00 минут.</w:t>
      </w:r>
    </w:p>
    <w:p>
      <w:pPr>
        <w:pStyle w:val="Normal"/>
        <w:spacing w:lineRule="atLeast" w:line="240" w:before="0" w:after="0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4"/>
          <w:szCs w:val="24"/>
        </w:rPr>
        <w:t>Окончено « 28 » февраля 2025 года в 15 ч. 15 минут.</w:t>
      </w:r>
    </w:p>
    <w:p>
      <w:pPr>
        <w:pStyle w:val="BodyTextIndent"/>
        <w:tabs>
          <w:tab w:val="clear" w:pos="708"/>
          <w:tab w:val="left" w:pos="851" w:leader="none"/>
        </w:tabs>
        <w:spacing w:lineRule="atLeast" w:line="240"/>
        <w:ind w:start="0" w:end="0"/>
        <w:jc w:val="both"/>
        <w:rPr>
          <w:rStyle w:val="Strong"/>
          <w:rFonts w:ascii="Times New Roman" w:hAnsi="Times New Roman" w:cs="Times New Roman"/>
          <w:b w:val="false"/>
          <w:sz w:val="24"/>
          <w:szCs w:val="24"/>
        </w:rPr>
      </w:pPr>
      <w:r>
        <w:rPr/>
      </w:r>
    </w:p>
    <w:p>
      <w:pPr>
        <w:pStyle w:val="BodyTextIndent"/>
        <w:tabs>
          <w:tab w:val="clear" w:pos="708"/>
          <w:tab w:val="left" w:pos="851" w:leader="none"/>
        </w:tabs>
        <w:spacing w:lineRule="atLeast" w:line="240"/>
        <w:ind w:start="0" w:end="0"/>
        <w:jc w:val="both"/>
        <w:rPr/>
      </w:pPr>
      <w:r>
        <w:rPr>
          <w:rStyle w:val="Strong"/>
          <w:sz w:val="22"/>
          <w:szCs w:val="22"/>
        </w:rPr>
        <w:t>4. Информация об участниках конкурса, заявки на участие в конкурсе которых были рассмотрены:</w:t>
      </w:r>
    </w:p>
    <w:p>
      <w:pPr>
        <w:pStyle w:val="BodyTextIndent"/>
        <w:tabs>
          <w:tab w:val="clear" w:pos="708"/>
          <w:tab w:val="left" w:pos="851" w:leader="none"/>
        </w:tabs>
        <w:spacing w:lineRule="atLeast" w:line="240"/>
        <w:ind w:start="0" w:end="0"/>
        <w:jc w:val="both"/>
        <w:rPr>
          <w:rStyle w:val="Strong"/>
          <w:sz w:val="22"/>
          <w:szCs w:val="22"/>
        </w:rPr>
      </w:pPr>
      <w:r>
        <w:rPr/>
      </w:r>
    </w:p>
    <w:tbl>
      <w:tblPr>
        <w:tblW w:w="103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8"/>
        <w:gridCol w:w="9306"/>
      </w:tblGrid>
      <w:tr>
        <w:trPr>
          <w:tblHeader w:val="true"/>
          <w:trHeight w:val="983" w:hRule="atLeast"/>
          <w:cantSplit w:val="true"/>
        </w:trPr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708"/>
                <w:tab w:val="left" w:pos="851" w:leader="none"/>
              </w:tabs>
              <w:spacing w:lineRule="atLeast" w:line="240"/>
              <w:ind w:start="0" w:end="0"/>
              <w:rPr/>
            </w:pPr>
            <w:r>
              <w:rPr>
                <w:rStyle w:val="Strong"/>
                <w:sz w:val="22"/>
                <w:szCs w:val="22"/>
              </w:rPr>
              <w:t>№</w:t>
            </w:r>
          </w:p>
          <w:p>
            <w:pPr>
              <w:pStyle w:val="BodyTextIndent"/>
              <w:tabs>
                <w:tab w:val="clear" w:pos="708"/>
                <w:tab w:val="left" w:pos="851" w:leader="none"/>
              </w:tabs>
              <w:spacing w:lineRule="atLeast" w:line="240"/>
              <w:ind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  <w:p>
            <w:pPr>
              <w:pStyle w:val="BodyTextIndent"/>
              <w:tabs>
                <w:tab w:val="clear" w:pos="708"/>
                <w:tab w:val="left" w:pos="851" w:leader="none"/>
              </w:tabs>
              <w:spacing w:lineRule="atLeast" w:line="240"/>
              <w:ind w:start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заявки</w:t>
            </w:r>
          </w:p>
        </w:tc>
        <w:tc>
          <w:tcPr>
            <w:tcW w:w="9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tabs>
                <w:tab w:val="clear" w:pos="708"/>
                <w:tab w:val="left" w:pos="851" w:leader="none"/>
              </w:tabs>
              <w:spacing w:lineRule="atLeast" w:line="240"/>
              <w:ind w:start="0" w:end="0"/>
              <w:rPr/>
            </w:pPr>
            <w:r>
              <w:rPr>
                <w:rStyle w:val="Strong"/>
                <w:sz w:val="22"/>
                <w:szCs w:val="22"/>
              </w:rPr>
              <w:t xml:space="preserve">Наименование </w:t>
            </w:r>
            <w:r>
              <w:rPr>
                <w:rStyle w:val="Strong"/>
                <w:b w:val="false"/>
                <w:i/>
                <w:sz w:val="22"/>
                <w:szCs w:val="22"/>
              </w:rPr>
              <w:t>(для юридического лица),</w:t>
            </w:r>
            <w:r>
              <w:rPr>
                <w:rStyle w:val="Strong"/>
                <w:sz w:val="22"/>
                <w:szCs w:val="22"/>
              </w:rPr>
              <w:t xml:space="preserve"> </w:t>
              <w:br/>
              <w:t xml:space="preserve">фамилия, имя, отчество </w:t>
            </w:r>
            <w:r>
              <w:rPr>
                <w:rStyle w:val="Strong"/>
                <w:b w:val="false"/>
                <w:i/>
                <w:sz w:val="22"/>
                <w:szCs w:val="22"/>
              </w:rPr>
              <w:t>(для физического лица)</w:t>
            </w:r>
            <w:r>
              <w:rPr>
                <w:rStyle w:val="Strong"/>
                <w:sz w:val="22"/>
                <w:szCs w:val="22"/>
              </w:rPr>
              <w:t xml:space="preserve">  участника закупки</w:t>
            </w:r>
          </w:p>
        </w:tc>
      </w:tr>
      <w:tr>
        <w:trPr>
          <w:trHeight w:val="376" w:hRule="atLeast"/>
          <w:cantSplit w:val="true"/>
        </w:trPr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9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Cs/>
                <w:sz w:val="22"/>
                <w:szCs w:val="22"/>
                <w:lang w:eastAsia="ru-RU"/>
              </w:rPr>
              <w:t>Индивидуальный предприниматель Ильтяков Дмитрий Владимирович</w:t>
            </w:r>
          </w:p>
        </w:tc>
      </w:tr>
      <w:tr>
        <w:trPr>
          <w:trHeight w:val="376" w:hRule="atLeast"/>
          <w:cantSplit w:val="true"/>
        </w:trPr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9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Cs/>
                <w:sz w:val="22"/>
                <w:szCs w:val="22"/>
                <w:lang w:eastAsia="ru-RU"/>
              </w:rPr>
              <w:t>Общество с ограниченной ответственностью «Гастрономика»</w:t>
            </w:r>
          </w:p>
        </w:tc>
      </w:tr>
    </w:tbl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both"/>
        <w:outlineLvl w:val="0"/>
        <w:rPr/>
      </w:pPr>
      <w:r>
        <w:rPr>
          <w:rStyle w:val="Strong"/>
          <w:rFonts w:eastAsia="Times New Roman" w:cs="Times New Roman" w:ascii="Times New Roman" w:hAnsi="Times New Roman"/>
          <w:b/>
          <w:bCs/>
          <w:kern w:val="2"/>
          <w:sz w:val="22"/>
          <w:szCs w:val="22"/>
          <w:lang w:eastAsia="ru-RU"/>
        </w:rPr>
        <w:t xml:space="preserve">5. Информация об участниках конкурса, заявки на участие в конкурсе которых были отклонены: </w:t>
      </w:r>
    </w:p>
    <w:tbl>
      <w:tblPr>
        <w:tblW w:w="103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8"/>
        <w:gridCol w:w="3353"/>
        <w:gridCol w:w="5953"/>
      </w:tblGrid>
      <w:tr>
        <w:trPr>
          <w:tblHeader w:val="true"/>
          <w:trHeight w:val="983" w:hRule="atLeast"/>
          <w:cantSplit w:val="true"/>
        </w:trPr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№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п/п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заявки</w:t>
            </w:r>
          </w:p>
        </w:tc>
        <w:tc>
          <w:tcPr>
            <w:tcW w:w="3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Наименование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Cs/>
                <w:i/>
                <w:lang w:eastAsia="ru-RU"/>
              </w:rPr>
              <w:t>(для юридического лица),</w:t>
            </w: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 xml:space="preserve"> </w:t>
              <w:br/>
              <w:t xml:space="preserve">фамилия, имя, отчество </w:t>
            </w:r>
            <w:r>
              <w:rPr>
                <w:rFonts w:eastAsia="Times New Roman" w:cs="Times New Roman" w:ascii="Times New Roman" w:hAnsi="Times New Roman"/>
                <w:bCs/>
                <w:i/>
                <w:lang w:eastAsia="ru-RU"/>
              </w:rPr>
              <w:t>(для физического лица)</w:t>
            </w: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 xml:space="preserve">  участника закупки</w:t>
            </w:r>
          </w:p>
        </w:tc>
        <w:tc>
          <w:tcPr>
            <w:tcW w:w="5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/>
                <w:i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Основания отклонения заявки на участие в конкурсе</w:t>
            </w:r>
          </w:p>
        </w:tc>
      </w:tr>
      <w:tr>
        <w:trPr>
          <w:trHeight w:val="424" w:hRule="atLeast"/>
          <w:cantSplit w:val="true"/>
        </w:trPr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napToGrid w:val="false"/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/>
                <w:i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lang w:eastAsia="ru-RU"/>
              </w:rPr>
            </w:r>
          </w:p>
        </w:tc>
        <w:tc>
          <w:tcPr>
            <w:tcW w:w="3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napToGrid w:val="false"/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lang w:eastAsia="ru-RU"/>
              </w:rPr>
            </w:r>
          </w:p>
        </w:tc>
        <w:tc>
          <w:tcPr>
            <w:tcW w:w="5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val="FF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FF0000"/>
                <w:lang w:eastAsia="ru-RU"/>
              </w:rPr>
            </w:r>
          </w:p>
        </w:tc>
      </w:tr>
    </w:tbl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both"/>
        <w:outlineLvl w:val="0"/>
        <w:rPr>
          <w:rFonts w:ascii="Times New Roman" w:hAnsi="Times New Roman" w:eastAsia="Times New Roman" w:cs="Times New Roman"/>
          <w:b/>
          <w:kern w:val="2"/>
          <w:lang w:eastAsia="ru-RU"/>
        </w:rPr>
      </w:pPr>
      <w:r>
        <w:rPr>
          <w:rFonts w:eastAsia="Times New Roman" w:cs="Times New Roman" w:ascii="Times New Roman" w:hAnsi="Times New Roman"/>
          <w:b/>
          <w:kern w:val="2"/>
          <w:lang w:eastAsia="ru-RU"/>
        </w:rPr>
      </w:r>
    </w:p>
    <w:p>
      <w:pPr>
        <w:pStyle w:val="Normal"/>
        <w:spacing w:lineRule="atLeast" w:line="240" w:before="0" w:after="0"/>
        <w:jc w:val="both"/>
        <w:rPr/>
      </w:pPr>
      <w:r>
        <w:rPr>
          <w:rFonts w:cs="Times New Roman" w:ascii="Times New Roman" w:hAnsi="Times New Roman"/>
          <w:b/>
          <w:bCs/>
        </w:rPr>
        <w:t>6. Р</w:t>
      </w:r>
      <w:r>
        <w:rPr/>
        <w:t xml:space="preserve">ешение каждого члена комиссии об отклонении заявок на участие в конкурсе: </w:t>
      </w:r>
    </w:p>
    <w:tbl>
      <w:tblPr>
        <w:tblW w:w="1034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2"/>
        <w:gridCol w:w="4111"/>
        <w:gridCol w:w="3436"/>
      </w:tblGrid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№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п/п</w:t>
            </w:r>
          </w:p>
          <w:p>
            <w:pPr>
              <w:pStyle w:val="Normal"/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заявки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За </w:t>
              <w:br/>
              <w:t>принятие </w:t>
              <w:br/>
              <w:t>решения</w:t>
            </w:r>
          </w:p>
        </w:tc>
        <w:tc>
          <w:tcPr>
            <w:tcW w:w="3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Против </w:t>
              <w:br/>
              <w:t>принятия </w:t>
              <w:br/>
              <w:t>решения</w:t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3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 w:before="0" w:after="0"/>
              <w:jc w:val="center"/>
              <w:rPr>
                <w:rFonts w:ascii="Times New Roman" w:hAnsi="Times New Roman" w:cs="Times New Roman"/>
                <w:i/>
                <w:i/>
                <w:lang w:eastAsia="ru-RU"/>
              </w:rPr>
            </w:pPr>
            <w:r>
              <w:rPr>
                <w:rFonts w:cs="Times New Roman" w:ascii="Times New Roman" w:hAnsi="Times New Roman"/>
                <w:i/>
                <w:lang w:eastAsia="ru-RU"/>
              </w:rPr>
            </w:r>
          </w:p>
        </w:tc>
      </w:tr>
    </w:tbl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both"/>
        <w:outlineLvl w:val="0"/>
        <w:rPr>
          <w:rFonts w:ascii="Times New Roman" w:hAnsi="Times New Roman" w:eastAsia="Times New Roman" w:cs="Times New Roman"/>
          <w:b/>
          <w:kern w:val="2"/>
          <w:lang w:eastAsia="ru-RU"/>
        </w:rPr>
      </w:pPr>
      <w:r>
        <w:rPr>
          <w:rFonts w:eastAsia="Times New Roman" w:cs="Times New Roman" w:ascii="Times New Roman" w:hAnsi="Times New Roman"/>
          <w:b/>
          <w:kern w:val="2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both"/>
        <w:outlineLvl w:val="0"/>
        <w:rPr/>
      </w:pPr>
      <w:r>
        <w:rPr>
          <w:rFonts w:eastAsia="Times New Roman" w:cs="Times New Roman" w:ascii="Times New Roman" w:hAnsi="Times New Roman"/>
          <w:b/>
          <w:kern w:val="2"/>
          <w:sz w:val="24"/>
          <w:szCs w:val="24"/>
          <w:lang w:eastAsia="ru-RU"/>
        </w:rPr>
        <w:t>7</w:t>
      </w:r>
      <w:r>
        <w:rPr>
          <w:rFonts w:eastAsia="Times New Roman" w:cs="Arial" w:ascii="Times New Roman" w:hAnsi="Times New Roman"/>
          <w:bCs/>
          <w:kern w:val="2"/>
          <w:sz w:val="24"/>
          <w:szCs w:val="24"/>
          <w:lang w:eastAsia="ru-RU"/>
        </w:rPr>
        <w:t xml:space="preserve">. Порядок оценки заявок на участие в конкурсе </w:t>
      </w:r>
      <w:r>
        <w:rPr>
          <w:rFonts w:eastAsia="Times New Roman" w:cs="Arial" w:ascii="Times New Roman" w:hAnsi="Times New Roman"/>
          <w:b/>
          <w:i/>
          <w:iCs/>
          <w:kern w:val="2"/>
          <w:sz w:val="24"/>
          <w:szCs w:val="24"/>
          <w:lang w:eastAsia="ru-RU"/>
        </w:rPr>
        <w:t>(информация берется из конкурсной документации):</w:t>
      </w:r>
    </w:p>
    <w:p>
      <w:pPr>
        <w:pStyle w:val="Normal"/>
        <w:suppressAutoHyphens w:val="true"/>
        <w:spacing w:lineRule="auto" w:line="240" w:before="0" w:after="0"/>
        <w:ind w:firstLine="709" w:end="0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>Конкурсная комиссия осуществляет оценку заявок на участие в конкурсе с ограниченным участием, поданных участниками закупок, признанными участниками конкурса с ограниченным участием в соответствии с Постановлением Правительства РФ от 28 ноября 2013 г. N 1085 "Об утверждении Правил оценки заявок, окончательных предложений участников закупки товаров, работ, услуг для обеспечения государственных и муниципальных нужд" (далее Правила)</w:t>
      </w:r>
    </w:p>
    <w:p>
      <w:pPr>
        <w:pStyle w:val="Normal"/>
        <w:spacing w:lineRule="atLeast" w:line="240" w:before="0" w:after="0"/>
        <w:ind w:firstLine="708" w:end="0"/>
        <w:jc w:val="both"/>
        <w:rPr>
          <w:rFonts w:ascii="Times New Roman" w:hAnsi="Times New Roman" w:cs="Times New Roman"/>
          <w:bCs/>
          <w:i/>
          <w:i/>
          <w:iCs/>
          <w:lang w:val="en-US"/>
        </w:rPr>
      </w:pPr>
      <w:r>
        <w:rPr>
          <w:rFonts w:cs="Times New Roman" w:ascii="Times New Roman" w:hAnsi="Times New Roman"/>
          <w:bCs/>
          <w:i/>
          <w:iCs/>
          <w:lang w:val="en-US"/>
        </w:rPr>
        <w:t>Для оценки заявок участников открытого конкурса заказчик в конкурсной документации устанавливает следующие критерии:</w:t>
      </w:r>
    </w:p>
    <w:tbl>
      <w:tblPr>
        <w:tblW w:w="103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45"/>
        <w:gridCol w:w="3969"/>
      </w:tblGrid>
      <w:tr>
        <w:trPr/>
        <w:tc>
          <w:tcPr>
            <w:tcW w:w="6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/>
              <w:t xml:space="preserve">Критерии оценки заявок на участие в открытом конкурсе 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/>
              <w:t xml:space="preserve">Величины значимости критериев оценки заявок на участие в открытом конкурсе </w:t>
            </w:r>
          </w:p>
        </w:tc>
      </w:tr>
      <w:tr>
        <w:trPr/>
        <w:tc>
          <w:tcPr>
            <w:tcW w:w="6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Цена договора</w:t>
            </w:r>
          </w:p>
          <w:p>
            <w:pPr>
              <w:pStyle w:val="BodyText"/>
              <w:rPr/>
            </w:pPr>
            <w:r>
              <w:rPr/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60%</w:t>
            </w:r>
          </w:p>
          <w:p>
            <w:pPr>
              <w:pStyle w:val="31"/>
              <w:tabs>
                <w:tab w:val="clear" w:pos="227"/>
              </w:tabs>
              <w:jc w:val="center"/>
              <w:rPr>
                <w:rFonts w:eastAsia="Arial"/>
                <w:sz w:val="22"/>
                <w:szCs w:val="22"/>
                <w:lang w:val="en-US"/>
              </w:rPr>
            </w:pPr>
            <w:r>
              <w:rPr/>
              <w:t>коэффициент значимости критерия - 0,6</w:t>
            </w:r>
          </w:p>
        </w:tc>
      </w:tr>
      <w:tr>
        <w:trPr/>
        <w:tc>
          <w:tcPr>
            <w:tcW w:w="6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>
                <w:b/>
                <w:sz w:val="20"/>
                <w:szCs w:val="20"/>
              </w:rPr>
              <w:t>Квалификация участника конкурса при размещении заказа на поставку товара: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tabs>
                <w:tab w:val="clear" w:pos="708"/>
                <w:tab w:val="left" w:pos="1139" w:leader="none"/>
              </w:tabs>
              <w:jc w:val="center"/>
              <w:rPr/>
            </w:pPr>
            <w:r>
              <w:rPr/>
              <w:t>40%  (100 баллов)</w:t>
            </w:r>
          </w:p>
          <w:p>
            <w:pPr>
              <w:pStyle w:val="31"/>
              <w:tabs>
                <w:tab w:val="clear" w:pos="227"/>
              </w:tabs>
              <w:jc w:val="center"/>
              <w:rPr>
                <w:rFonts w:eastAsia="Arial"/>
                <w:sz w:val="22"/>
                <w:szCs w:val="22"/>
                <w:lang w:val="en-US"/>
              </w:rPr>
            </w:pPr>
            <w:r>
              <w:rPr/>
              <w:t>коэффициент значимости критерия - 0,4</w:t>
            </w:r>
          </w:p>
        </w:tc>
      </w:tr>
      <w:tr>
        <w:trPr/>
        <w:tc>
          <w:tcPr>
            <w:tcW w:w="6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28"/>
              <w:jc w:val="start"/>
              <w:rPr/>
            </w:pPr>
            <w:r>
              <w:rPr>
                <w:sz w:val="21"/>
                <w:szCs w:val="21"/>
              </w:rPr>
              <w:t>-</w:t>
            </w:r>
            <w:r>
              <w:rPr>
                <w:i w:val="false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Количество заключенных договоров на поставку </w:t>
            </w:r>
            <w:r>
              <w:rPr>
                <w:i w:val="false"/>
                <w:color w:val="0000FF"/>
                <w:sz w:val="22"/>
                <w:szCs w:val="22"/>
              </w:rPr>
              <w:t xml:space="preserve">колбасных изделий </w:t>
            </w:r>
            <w:r>
              <w:rPr>
                <w:sz w:val="21"/>
                <w:szCs w:val="21"/>
              </w:rPr>
              <w:t>с дошкольными образовательными учреждениями, общеобразовательными учреждениями, образовательными учреждениями начального профессионального, среднего профессионального и высшего профессионального образования, специальными (коррекционными) образовательными учреждениями для обучающихся, воспитанников с ограниченными возможностями здоровья, учреждениями для детей-сирот и детей, оставшихся без попечения родителей, специальными учебно-воспитательными учреждениями закрытого типа для детей и подростков с девиантным (общественно опасным) поведением, нетиповыми образовательными учреждениями высшей категории для детей, подростков и молодых людей, проявивших выдающиеся способности, образовательными учреждениями дополнительного образования детей и другими организациями, осуществляющих образовательный процесс для детей, медицинскими организациями, учреждениями социального обслуживания, организациями отдыха детей и их оздоровления за последние три года (2022-2024гг).</w:t>
            </w:r>
          </w:p>
          <w:p>
            <w:pPr>
              <w:pStyle w:val="Style20"/>
              <w:rPr>
                <w:rFonts w:ascii="Times New Roman" w:hAnsi="Times New Roman" w:cs="Times New Roman"/>
                <w:b/>
                <w:i/>
                <w:i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i/>
                <w:sz w:val="21"/>
                <w:szCs w:val="21"/>
              </w:rPr>
            </w:r>
          </w:p>
          <w:p>
            <w:pPr>
              <w:pStyle w:val="Style20"/>
              <w:rPr>
                <w:rFonts w:ascii="Times New Roman" w:hAnsi="Times New Roman" w:cs="Times New Roman"/>
                <w:b/>
                <w:i/>
                <w:i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i/>
                <w:sz w:val="21"/>
                <w:szCs w:val="21"/>
              </w:rPr>
              <w:t>При этом стоимость каждого ранее исполненного контракта (договора) составляет не менее 10 процентов начальной (максимальной) цены контракта, договора (цены лота), на право заключить который проводится.</w:t>
            </w:r>
          </w:p>
          <w:p>
            <w:pPr>
              <w:pStyle w:val="Style20"/>
              <w:rPr>
                <w:rFonts w:ascii="Times New Roman" w:hAnsi="Times New Roman" w:cs="Times New Roman"/>
                <w:b/>
                <w:i/>
                <w:i/>
                <w:color w:val="FF0000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i/>
                <w:color w:val="FF0000"/>
                <w:sz w:val="21"/>
                <w:szCs w:val="21"/>
              </w:rPr>
            </w:r>
          </w:p>
          <w:p>
            <w:pPr>
              <w:pStyle w:val="Style20"/>
              <w:rPr>
                <w:b/>
                <w:i/>
                <w:i/>
                <w:color w:val="FF0000"/>
              </w:rPr>
            </w:pPr>
            <w:r>
              <w:rPr>
                <w:rFonts w:cs="Times New Roman" w:ascii="Times New Roman" w:hAnsi="Times New Roman"/>
                <w:b/>
                <w:i/>
                <w:color w:val="FF0000"/>
                <w:sz w:val="21"/>
                <w:szCs w:val="21"/>
              </w:rPr>
              <w:t>Подтверждается копиями ранее исполненных договоров, информация о которых содержится в реестре контрактов по 44-ФЗ, реестре договоров по 223-ФЗ, документами о приемке поставленного товара.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100 баллов</w:t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  <w:p>
            <w:pPr>
              <w:pStyle w:val="BodyText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atLeast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tLeast" w:line="240" w:before="0" w:after="0"/>
        <w:jc w:val="both"/>
        <w:rPr/>
      </w:pPr>
      <w:r>
        <w:rPr/>
        <w:t>8. Присвоенные заявкам на участие в конкурсе значения по каждому из предусмотренных критериев оценки заявок на участие в конкурсе:</w:t>
      </w:r>
    </w:p>
    <w:tbl>
      <w:tblPr>
        <w:tblW w:w="103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52"/>
        <w:gridCol w:w="2268"/>
        <w:gridCol w:w="2551"/>
        <w:gridCol w:w="1829"/>
      </w:tblGrid>
      <w:tr>
        <w:trPr>
          <w:tblHeader w:val="true"/>
          <w:trHeight w:val="720" w:hRule="atLeast"/>
          <w:cantSplit w:val="true"/>
        </w:trPr>
        <w:tc>
          <w:tcPr>
            <w:tcW w:w="36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20"/>
                <w:lang w:eastAsia="ru-RU"/>
              </w:rPr>
              <w:t>Наименование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sz w:val="18"/>
                <w:szCs w:val="20"/>
                <w:lang w:eastAsia="ru-RU"/>
              </w:rPr>
              <w:t>(для юридического лица),</w:t>
            </w: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20"/>
                <w:lang w:eastAsia="ru-RU"/>
              </w:rPr>
              <w:t xml:space="preserve"> </w:t>
              <w:br/>
              <w:t xml:space="preserve">фамилия, имя, отчество 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i/>
                <w:sz w:val="18"/>
                <w:szCs w:val="20"/>
                <w:lang w:eastAsia="ru-RU"/>
              </w:rPr>
              <w:t>(для физического лица)</w:t>
            </w: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20"/>
                <w:lang w:eastAsia="ru-RU"/>
              </w:rPr>
              <w:t xml:space="preserve">  участника закупки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20"/>
                <w:lang w:eastAsia="ru-RU"/>
              </w:rPr>
              <w:t>Критерии оценки, балл</w:t>
            </w:r>
          </w:p>
        </w:tc>
        <w:tc>
          <w:tcPr>
            <w:tcW w:w="18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20"/>
                <w:lang w:eastAsia="ru-RU"/>
              </w:rPr>
              <w:t>Итоговая оценка, балл</w:t>
            </w:r>
          </w:p>
        </w:tc>
      </w:tr>
      <w:tr>
        <w:trPr>
          <w:tblHeader w:val="true"/>
          <w:trHeight w:val="720" w:hRule="atLeast"/>
          <w:cantSplit w:val="true"/>
        </w:trPr>
        <w:tc>
          <w:tcPr>
            <w:tcW w:w="36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napToGrid w:val="false"/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20"/>
                <w:lang w:eastAsia="ru-RU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20"/>
                <w:lang w:eastAsia="ru-RU"/>
              </w:rPr>
              <w:t>Цена  договора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0"/>
              <w:ind w:firstLine="34" w:end="0"/>
              <w:jc w:val="center"/>
              <w:rPr>
                <w:sz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20"/>
                <w:lang w:eastAsia="ru-RU"/>
              </w:rPr>
              <w:t>Квалификация участников закупки</w:t>
            </w:r>
          </w:p>
        </w:tc>
        <w:tc>
          <w:tcPr>
            <w:tcW w:w="18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napToGrid w:val="false"/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20"/>
                <w:lang w:eastAsia="ru-RU"/>
              </w:rPr>
            </w:r>
          </w:p>
        </w:tc>
      </w:tr>
      <w:tr>
        <w:trPr>
          <w:trHeight w:val="925" w:hRule="atLeast"/>
          <w:cantSplit w:val="true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lang w:eastAsia="ru-RU"/>
              </w:rPr>
              <w:t>Индивидуальный предприниматель Ильтяков Дмитрий Владимирович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ru-RU"/>
              </w:rPr>
              <w:t>47,51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ru-RU"/>
              </w:rPr>
              <w:t>12,31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ru-RU"/>
              </w:rPr>
              <w:t>59,82</w:t>
            </w:r>
          </w:p>
        </w:tc>
      </w:tr>
      <w:tr>
        <w:trPr>
          <w:trHeight w:val="925" w:hRule="atLeast"/>
          <w:cantSplit w:val="true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lang w:eastAsia="ru-RU"/>
              </w:rPr>
              <w:t>Общество с ограниченной ответственностью «Гастрономика»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ru-RU"/>
              </w:rPr>
              <w:t>60,00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ru-RU"/>
              </w:rPr>
              <w:t>40,00</w:t>
            </w:r>
          </w:p>
        </w:tc>
        <w:tc>
          <w:tcPr>
            <w:tcW w:w="1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ru-RU"/>
              </w:rPr>
              <w:t>100,00</w:t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08"/>
          <w:tab w:val="left" w:pos="360" w:leader="none"/>
        </w:tabs>
        <w:spacing w:lineRule="atLeast" w:line="240" w:before="0" w:after="0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60" w:leader="none"/>
        </w:tabs>
        <w:spacing w:lineRule="atLeast" w:line="240" w:before="0" w:after="0"/>
        <w:jc w:val="both"/>
        <w:outlineLvl w:val="0"/>
        <w:rPr/>
      </w:pPr>
      <w:r>
        <w:rPr/>
        <w:t>9. Принятое на основании результатов оценки заявок на участие в конкурсе решение о присвоении таким заявкам порядковых номеров:</w:t>
      </w:r>
    </w:p>
    <w:tbl>
      <w:tblPr>
        <w:tblW w:w="103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4952"/>
      </w:tblGrid>
      <w:tr>
        <w:trPr/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20"/>
                <w:lang w:eastAsia="ru-RU"/>
              </w:rPr>
              <w:t>Наименование</w:t>
            </w:r>
          </w:p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tLeast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sz w:val="18"/>
                <w:szCs w:val="20"/>
                <w:lang w:eastAsia="ru-RU"/>
              </w:rPr>
              <w:t>(для юридического лица),</w:t>
            </w: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20"/>
                <w:lang w:eastAsia="ru-RU"/>
              </w:rPr>
              <w:t xml:space="preserve"> </w:t>
              <w:br/>
              <w:t xml:space="preserve">фамилия, имя, отчество </w:t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60" w:leader="none"/>
              </w:tabs>
              <w:spacing w:lineRule="atLeast" w:line="240" w:before="0" w:after="0"/>
              <w:jc w:val="center"/>
              <w:outlineLvl w:val="0"/>
              <w:rPr/>
            </w:pPr>
            <w:r>
              <w:rPr>
                <w:rFonts w:eastAsia="Times New Roman" w:cs="Times New Roman" w:ascii="Times New Roman" w:hAnsi="Times New Roman"/>
                <w:i/>
                <w:sz w:val="18"/>
                <w:szCs w:val="20"/>
                <w:lang w:eastAsia="ru-RU"/>
              </w:rPr>
              <w:t>(для физического лица)</w:t>
            </w:r>
            <w:r>
              <w:rPr>
                <w:b/>
                <w:bCs/>
                <w:sz w:val="18"/>
              </w:rPr>
              <w:t xml:space="preserve">  </w:t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60" w:leader="none"/>
              </w:tabs>
              <w:spacing w:lineRule="atLeast" w:line="240" w:before="0" w:after="0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20"/>
                <w:lang w:eastAsia="ru-RU"/>
              </w:rPr>
              <w:t>участника закупки</w:t>
            </w:r>
          </w:p>
        </w:tc>
        <w:tc>
          <w:tcPr>
            <w:tcW w:w="4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60" w:leader="none"/>
              </w:tabs>
              <w:spacing w:lineRule="atLeast" w:line="240" w:before="0" w:after="0"/>
              <w:jc w:val="center"/>
              <w:outlineLvl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Присвоенный порядковый номер</w:t>
            </w:r>
          </w:p>
        </w:tc>
      </w:tr>
      <w:tr>
        <w:trPr/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lang w:eastAsia="ru-RU"/>
              </w:rPr>
              <w:t>Индивидуальный предприниматель Ильтяков Дмитрий Владимирович</w:t>
            </w:r>
          </w:p>
        </w:tc>
        <w:tc>
          <w:tcPr>
            <w:tcW w:w="4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60" w:leader="none"/>
              </w:tabs>
              <w:spacing w:lineRule="atLeast" w:line="240" w:before="0" w:after="0"/>
              <w:jc w:val="center"/>
              <w:outlineLvl w:val="0"/>
              <w:rPr>
                <w:rFonts w:ascii="Times New Roman" w:hAnsi="Times New Roman" w:cs="Times New Roman"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Cs/>
                <w:lang w:eastAsia="ru-RU"/>
              </w:rPr>
              <w:t>Общество с ограниченной ответственностью «Гастрономика»</w:t>
            </w:r>
          </w:p>
        </w:tc>
        <w:tc>
          <w:tcPr>
            <w:tcW w:w="4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60" w:leader="none"/>
              </w:tabs>
              <w:spacing w:lineRule="atLeast" w:line="240" w:before="0" w:after="0"/>
              <w:jc w:val="center"/>
              <w:outlineLvl w:val="0"/>
              <w:rPr>
                <w:rFonts w:ascii="Times New Roman" w:hAnsi="Times New Roman" w:cs="Times New Roman"/>
                <w:bCs/>
                <w:i/>
                <w:i/>
                <w:i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0"/>
                <w:szCs w:val="20"/>
              </w:rPr>
              <w:t>1</w:t>
            </w:r>
          </w:p>
        </w:tc>
      </w:tr>
    </w:tbl>
    <w:p>
      <w:pPr>
        <w:pStyle w:val="Normal"/>
        <w:spacing w:lineRule="atLeast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60" w:leader="none"/>
        </w:tabs>
        <w:spacing w:lineRule="atLeast" w:line="240" w:before="0" w:after="0"/>
        <w:jc w:val="both"/>
        <w:outlineLvl w:val="0"/>
        <w:rPr/>
      </w:pPr>
      <w:r>
        <w:rPr>
          <w:rFonts w:cs="Times New Roman" w:ascii="Times New Roman" w:hAnsi="Times New Roman"/>
          <w:b/>
          <w:sz w:val="24"/>
          <w:szCs w:val="24"/>
        </w:rPr>
        <w:t>10. Наименования (для юридических лиц), фамилии, имена, отчества (при наличии) (для физических лиц), почтовые адреса участников конкурса, заявкам на участие в конкурсе присвоены номера: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6150" w:leader="none"/>
        </w:tabs>
        <w:spacing w:lineRule="atLeast" w:line="240" w:before="0" w:after="0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numPr>
          <w:ilvl w:val="0"/>
          <w:numId w:val="2"/>
        </w:numPr>
        <w:spacing w:lineRule="atLeast" w:line="240" w:before="0" w:after="0"/>
        <w:ind w:hanging="0" w:start="0" w:end="-568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lang w:eastAsia="ru-RU"/>
        </w:rPr>
        <w:t>Общество с ограниченной ответственностью «Гастрономика» (620017, г. Екатеринбург, ул. Баумана, д. 6, оф.101) Цена: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 xml:space="preserve"> 2 838 250,00 рублей.</w:t>
      </w:r>
    </w:p>
    <w:p>
      <w:pPr>
        <w:pStyle w:val="Normal"/>
        <w:numPr>
          <w:ilvl w:val="0"/>
          <w:numId w:val="2"/>
        </w:numPr>
        <w:ind w:hanging="0" w:start="0" w:end="-568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lang w:eastAsia="ru-RU"/>
        </w:rPr>
        <w:t>Индивидуальный предприниматель Ильтяков Дмитрий Владимирович (641570, Курганская область, Частоозерский район, с.Частоозерье, ул. Октябрьская, 151) Цена: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 xml:space="preserve"> 3 584 400,00 рублей.</w:t>
      </w:r>
    </w:p>
    <w:p>
      <w:pPr>
        <w:pStyle w:val="Normal"/>
        <w:spacing w:lineRule="atLeast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</w:rPr>
        <w:t>11.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Протокол рассмотрения и оценки заявок на участие в конкурсе, размещается заказчиком в единой информационной системе не позднее рабочего дня, следующего за датой подписания указанного протокола.</w:t>
      </w:r>
    </w:p>
    <w:p>
      <w:pPr>
        <w:pStyle w:val="Normal"/>
        <w:spacing w:lineRule="atLeast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ab/>
      </w:r>
    </w:p>
    <w:p>
      <w:pPr>
        <w:pStyle w:val="Normal"/>
        <w:tabs>
          <w:tab w:val="clear" w:pos="708"/>
          <w:tab w:val="left" w:pos="1800" w:leader="none"/>
        </w:tabs>
        <w:spacing w:lineRule="atLeast" w:line="240" w:before="0" w:after="0"/>
        <w:jc w:val="both"/>
        <w:rPr>
          <w:rStyle w:val="Strong"/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12. Подписи:</w:t>
      </w:r>
    </w:p>
    <w:p>
      <w:pPr>
        <w:pStyle w:val="Normal"/>
        <w:tabs>
          <w:tab w:val="clear" w:pos="708"/>
          <w:tab w:val="left" w:pos="1800" w:leader="none"/>
        </w:tabs>
        <w:spacing w:lineRule="atLeast" w:line="240" w:before="0" w:after="0"/>
        <w:jc w:val="both"/>
        <w:rPr>
          <w:rStyle w:val="Strong"/>
          <w:rFonts w:ascii="Times New Roman" w:hAnsi="Times New Roman" w:cs="Times New Roman"/>
          <w:b/>
          <w:bCs/>
        </w:rPr>
      </w:pPr>
      <w:r>
        <w:rPr/>
      </w:r>
    </w:p>
    <w:tbl>
      <w:tblPr>
        <w:tblW w:w="101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27"/>
        <w:gridCol w:w="6945"/>
      </w:tblGrid>
      <w:tr>
        <w:trPr/>
        <w:tc>
          <w:tcPr>
            <w:tcW w:w="322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ab/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Председатель комиссии: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6945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__________________ Бендер Наталья Михайловна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eastAsia="ru-RU"/>
              </w:rPr>
              <w:t xml:space="preserve">                 </w:t>
            </w:r>
            <w:r>
              <w:rPr>
                <w:rFonts w:cs="Times New Roman" w:ascii="Times New Roman" w:hAnsi="Times New Roman"/>
                <w:sz w:val="16"/>
                <w:szCs w:val="16"/>
                <w:lang w:eastAsia="ru-RU"/>
              </w:rPr>
              <w:t>(Подпись)                           (Фамилия, Имя, Отчество)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Члены комиссии:</w:t>
            </w:r>
          </w:p>
        </w:tc>
        <w:tc>
          <w:tcPr>
            <w:tcW w:w="6945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__________________ Кожевников Максим Вячеславович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eastAsia="ru-RU"/>
              </w:rPr>
              <w:t xml:space="preserve">               </w:t>
            </w:r>
            <w:r>
              <w:rPr>
                <w:rFonts w:cs="Times New Roman" w:ascii="Times New Roman" w:hAnsi="Times New Roman"/>
                <w:sz w:val="16"/>
                <w:szCs w:val="16"/>
                <w:lang w:eastAsia="ru-RU"/>
              </w:rPr>
              <w:t>(Подпись)                          (Фамилия, Имя, Отчество)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694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__________________ Васильев Алексей Николаевич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eastAsia="ru-RU"/>
              </w:rPr>
              <w:t xml:space="preserve">               </w:t>
            </w:r>
            <w:r>
              <w:rPr>
                <w:rFonts w:cs="Times New Roman" w:ascii="Times New Roman" w:hAnsi="Times New Roman"/>
                <w:sz w:val="16"/>
                <w:szCs w:val="16"/>
                <w:lang w:eastAsia="ru-RU"/>
              </w:rPr>
              <w:t>(Подпись)                          (Фамилия, Имя, Отчество)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eastAsia="ru-RU"/>
              </w:rPr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Заказчик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6945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__________________ Суворов Андрей Владимирович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eastAsia="ru-RU"/>
              </w:rPr>
              <w:t xml:space="preserve">               </w:t>
            </w:r>
            <w:r>
              <w:rPr>
                <w:rFonts w:cs="Times New Roman" w:ascii="Times New Roman" w:hAnsi="Times New Roman"/>
                <w:sz w:val="16"/>
                <w:szCs w:val="16"/>
                <w:lang w:eastAsia="ru-RU"/>
              </w:rPr>
              <w:t>(Подпись)                          (Фамилия, Имя, Отчество)</w:t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b/>
          <w:sz w:val="24"/>
          <w:szCs w:val="24"/>
        </w:rPr>
        <w:t>СОГЛАСОВАНИЕ ПРОТОКОЛА № 5-ОК</w:t>
      </w:r>
    </w:p>
    <w:p>
      <w:pPr>
        <w:pStyle w:val="Normal"/>
        <w:spacing w:lineRule="atLeast" w:line="240" w:before="0" w:after="0"/>
        <w:ind w:end="-28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единой комиссии  по осуществлению закупки</w:t>
      </w:r>
      <w:r>
        <w:rPr>
          <w:rFonts w:cs="Times New Roman" w:ascii="Times New Roman" w:hAnsi="Times New Roman"/>
          <w:color w:val="0000FF"/>
          <w:sz w:val="24"/>
          <w:szCs w:val="24"/>
          <w:lang w:val="en-US"/>
        </w:rPr>
        <w:t xml:space="preserve"> </w:t>
      </w:r>
    </w:p>
    <w:p>
      <w:pPr>
        <w:pStyle w:val="Normal"/>
        <w:spacing w:lineRule="auto" w:line="240" w:before="0" w:after="0"/>
        <w:ind w:end="-28"/>
        <w:jc w:val="center"/>
        <w:rPr/>
      </w:pPr>
      <w:r>
        <w:rPr/>
        <w:t>путем проведения открытого конкурса на поставку колбасных изделий</w:t>
      </w:r>
    </w:p>
    <w:tbl>
      <w:tblPr>
        <w:tblW w:w="9859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40"/>
        <w:gridCol w:w="3161"/>
        <w:gridCol w:w="3158"/>
      </w:tblGrid>
      <w:tr>
        <w:trPr>
          <w:trHeight w:val="960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Бендер Наталья Михайловна, председатель комиссии</w:t>
            </w:r>
          </w:p>
        </w:tc>
        <w:tc>
          <w:tcPr>
            <w:tcW w:w="3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end="-288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Начальник Отдела финансового планирования и закупок – руководитель Контрактной службы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end="-288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  <w:tr>
        <w:trPr>
          <w:trHeight w:val="960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Кожевников Максим Вячеславович,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член комиссии</w:t>
            </w:r>
          </w:p>
        </w:tc>
        <w:tc>
          <w:tcPr>
            <w:tcW w:w="3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Начальник Управления инфраструктуры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end="-288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  <w:tr>
        <w:trPr>
          <w:trHeight w:val="924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Карпенко Иван Григорьевич,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член комиссии</w:t>
            </w:r>
          </w:p>
        </w:tc>
        <w:tc>
          <w:tcPr>
            <w:tcW w:w="3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Главный инженер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  <w:tr>
        <w:trPr>
          <w:trHeight w:val="1005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Максимкина Юлия Андреевна,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член комиссии </w:t>
            </w:r>
          </w:p>
        </w:tc>
        <w:tc>
          <w:tcPr>
            <w:tcW w:w="3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Начальник юридического отдела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  <w:tr>
        <w:trPr>
          <w:trHeight w:val="1005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Васильев Алексей Николаевич,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член комиссии</w:t>
            </w:r>
          </w:p>
        </w:tc>
        <w:tc>
          <w:tcPr>
            <w:tcW w:w="3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Начальник ОМТО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  <w:tr>
        <w:trPr>
          <w:trHeight w:val="1005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Гаврилова Елена Анатольевна, член комиссии</w:t>
            </w:r>
          </w:p>
        </w:tc>
        <w:tc>
          <w:tcPr>
            <w:tcW w:w="3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Менеджер ОМТО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BodyText"/>
        <w:ind w:end="-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sectPr>
      <w:type w:val="nextPage"/>
      <w:pgSz w:w="11906" w:h="16838"/>
      <w:pgMar w:left="1134" w:right="1134" w:gutter="0" w:header="0" w:top="426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432"/>
        </w:tabs>
        <w:ind w:start="432" w:hanging="432"/>
      </w:pPr>
      <w:rPr>
        <w:sz w:val="28"/>
        <w:i w:val="false"/>
        <w:b/>
        <w:szCs w:val="28"/>
        <w:rFonts w:ascii="Times New Roman" w:hAnsi="Times New Roman" w:cs="Times New Roman"/>
      </w:r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>
        <w:sz w:val="28"/>
        <w:i w:val="false"/>
        <w:b w:val="false"/>
        <w:szCs w:val="26"/>
        <w:rFonts w:ascii="Times New Roman" w:hAnsi="Times New Roman" w:cs="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0725"/>
        </w:tabs>
        <w:ind w:start="10725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240" w:after="60"/>
      <w:outlineLvl w:val="0"/>
    </w:pPr>
    <w:rPr>
      <w:rFonts w:ascii="Arial" w:hAnsi="Arial" w:eastAsia="Times New Roman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lineRule="atLeast" w:line="240" w:before="0" w:after="0"/>
      <w:jc w:val="center"/>
      <w:outlineLvl w:val="1"/>
    </w:pPr>
    <w:rPr>
      <w:rFonts w:ascii="Times New Roman" w:hAnsi="Times New Roman" w:eastAsia="Times New Roman" w:cs="Times New Roman"/>
      <w:i/>
      <w:color w:val="000000"/>
      <w:sz w:val="16"/>
      <w:szCs w:val="16"/>
    </w:rPr>
  </w:style>
  <w:style w:type="character" w:styleId="WW8Num3z0">
    <w:name w:val="WW8Num3z0"/>
    <w:qFormat/>
    <w:rPr>
      <w:rFonts w:ascii="Times New Roman" w:hAnsi="Times New Roman" w:cs="Times New Roman"/>
      <w:b/>
      <w:i w:val="false"/>
      <w:sz w:val="28"/>
      <w:szCs w:val="28"/>
    </w:rPr>
  </w:style>
  <w:style w:type="character" w:styleId="WW8Num3z1">
    <w:name w:val="WW8Num3z1"/>
    <w:qFormat/>
    <w:rPr>
      <w:rFonts w:ascii="Times New Roman" w:hAnsi="Times New Roman" w:cs="Times New Roman"/>
      <w:b w:val="false"/>
      <w:i w:val="false"/>
      <w:sz w:val="28"/>
      <w:szCs w:val="26"/>
    </w:rPr>
  </w:style>
  <w:style w:type="character" w:styleId="WW8Num3z2">
    <w:name w:val="WW8Num3z2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sz w:val="20"/>
    </w:rPr>
  </w:style>
  <w:style w:type="character" w:styleId="WW8Num9z0">
    <w:name w:val="WW8Num9z0"/>
    <w:qFormat/>
    <w:rPr>
      <w:sz w:val="20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sz w:val="20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Style13">
    <w:name w:val="Основной текст с отступом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tyle14">
    <w:name w:val="Обычный (веб)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postbody">
    <w:name w:val="postbody"/>
    <w:basedOn w:val="Style12"/>
    <w:qFormat/>
    <w:rPr/>
  </w:style>
  <w:style w:type="character" w:styleId="Style15">
    <w:name w:val="Цветовое выделение"/>
    <w:qFormat/>
    <w:rPr>
      <w:b/>
      <w:bCs/>
      <w:color w:val="26282F"/>
    </w:rPr>
  </w:style>
  <w:style w:type="character" w:styleId="3">
    <w:name w:val="Стиль3 Знак Знак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2">
    <w:name w:val="Основной текст с отступом 2 Знак"/>
    <w:qFormat/>
    <w:rPr>
      <w:sz w:val="22"/>
      <w:szCs w:val="22"/>
    </w:rPr>
  </w:style>
  <w:style w:type="character" w:styleId="Style16">
    <w:name w:val="Основной текст Знак"/>
    <w:qFormat/>
    <w:rPr>
      <w:rFonts w:ascii="Times New Roman" w:hAnsi="Times New Roman" w:cs="Times New Roman"/>
      <w:bCs/>
      <w:i/>
      <w:iCs/>
      <w:sz w:val="24"/>
      <w:szCs w:val="24"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tLeast" w:line="240" w:before="0" w:after="0"/>
      <w:jc w:val="both"/>
    </w:pPr>
    <w:rPr>
      <w:rFonts w:ascii="Times New Roman" w:hAnsi="Times New Roman" w:cs="Times New Roman"/>
      <w:bCs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spacing w:lineRule="auto" w:line="240" w:before="0" w:after="0"/>
      <w:ind w:hanging="0" w:start="5529" w:end="0"/>
      <w:jc w:val="center"/>
    </w:pPr>
    <w:rPr>
      <w:rFonts w:ascii="Times New Roman" w:hAnsi="Times New Roman" w:eastAsia="Times New Roman" w:cs="Times New Roman"/>
      <w:sz w:val="20"/>
      <w:szCs w:val="20"/>
    </w:rPr>
  </w:style>
  <w:style w:type="paragraph" w:styleId="11">
    <w:name w:val="заголовок 1"/>
    <w:basedOn w:val="Normal"/>
    <w:next w:val="Normal"/>
    <w:qFormat/>
    <w:pPr>
      <w:keepNext w:val="true"/>
      <w:spacing w:lineRule="auto" w:line="240" w:before="0" w:after="0"/>
      <w:ind w:hanging="0" w:start="0" w:end="-1"/>
      <w:jc w:val="center"/>
    </w:pPr>
    <w:rPr>
      <w:rFonts w:ascii="Times New Roman" w:hAnsi="Times New Roman" w:eastAsia="Times New Roman" w:cs="Times New Roman"/>
      <w:b/>
      <w:szCs w:val="20"/>
    </w:rPr>
  </w:style>
  <w:style w:type="paragraph" w:styleId="Style18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31">
    <w:name w:val="Стиль3 Знак Знак"/>
    <w:basedOn w:val="Normal"/>
    <w:qFormat/>
    <w:pPr>
      <w:widowControl w:val="false"/>
      <w:tabs>
        <w:tab w:val="clear" w:pos="708"/>
        <w:tab w:val="left" w:pos="227" w:leader="none"/>
      </w:tabs>
      <w:spacing w:lineRule="auto" w:line="240" w:before="0" w:after="0"/>
      <w:jc w:val="both"/>
      <w:textAlignment w:val="baseline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/>
  </w:style>
  <w:style w:type="paragraph" w:styleId="Style19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0">
    <w:name w:val="Без интервала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oszakaz@usurt.r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2014-01-15T06:23:00Z</dcterms:created>
  <dc:creator>HP</dc:creator>
  <dc:description/>
  <cp:keywords/>
  <dc:language>en-US</dc:language>
  <cp:lastModifiedBy>Винс Татьяна Юрьевна</cp:lastModifiedBy>
  <cp:lastPrinted>2025-03-03T09:15:00Z</cp:lastPrinted>
  <dcterms:modified xsi:type="dcterms:W3CDTF">2025-03-03T04:15:00Z</dcterms:modified>
  <cp:revision>113</cp:revision>
  <dc:subject/>
  <dc:title>ПРОТОКОЛ №__</dc:title>
</cp:coreProperties>
</file>