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media/image1.png" ContentType="image/png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Subtitle"/>
        <w:widowControl w:val="false"/>
        <w:rPr>
          <w:caps/>
          <w:spacing w:val="40"/>
          <w:sz w:val="23"/>
          <w:szCs w:val="23"/>
        </w:rPr>
      </w:pPr>
      <w:r>
        <w:rPr>
          <w:caps/>
          <w:spacing w:val="40"/>
          <w:sz w:val="23"/>
          <w:szCs w:val="23"/>
        </w:rPr>
        <w:softHyphen/>
      </w:r>
    </w:p>
    <w:tbl>
      <w:tblPr>
        <w:tblW w:w="984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649"/>
        <w:gridCol w:w="4199"/>
      </w:tblGrid>
      <w:tr>
        <w:trPr>
          <w:trHeight w:val="1373" w:hRule="atLeast"/>
        </w:trPr>
        <w:tc>
          <w:tcPr>
            <w:tcW w:w="5649" w:type="dxa"/>
            <w:tcBorders/>
          </w:tcPr>
          <w:p>
            <w:pPr>
              <w:pStyle w:val="Normal"/>
              <w:spacing w:before="0" w:after="0"/>
              <w:contextualSpacing/>
              <w:rPr>
                <w:rFonts w:ascii="PF Din Text Cond Pro Light" w:hAnsi="PF Din Text Cond Pro Light" w:cs="PF Din Text Cond Pro Light"/>
              </w:rPr>
            </w:pPr>
            <w:r>
              <w:rPr>
                <w:lang w:val="en-US" w:eastAsia="en-US"/>
              </w:rPr>
              <w:drawing>
                <wp:inline distT="0" distB="0" distL="0" distR="0">
                  <wp:extent cx="2073910" cy="716280"/>
                  <wp:effectExtent l="0" t="0" r="0" b="0"/>
                  <wp:docPr id="1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rcRect l="-17" t="-50" r="-17" b="-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73910" cy="71628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99" w:type="dxa"/>
            <w:tcBorders/>
          </w:tcPr>
          <w:p>
            <w:pPr>
              <w:pStyle w:val="Normal"/>
              <w:spacing w:before="0" w:after="0"/>
              <w:contextualSpacing/>
              <w:rPr>
                <w:rFonts w:ascii="PF Din Text Cond Pro Light" w:hAnsi="PF Din Text Cond Pro Light" w:cs="PF Din Text Cond Pro Light"/>
                <w:sz w:val="18"/>
                <w:szCs w:val="18"/>
              </w:rPr>
            </w:pPr>
            <w:r>
              <w:rPr>
                <w:rFonts w:cs="PF Din Text Cond Pro Light" w:ascii="PF Din Text Cond Pro Light" w:hAnsi="PF Din Text Cond Pro Light"/>
                <w:sz w:val="18"/>
                <w:szCs w:val="18"/>
              </w:rPr>
              <w:t>Публичное акционерное общество</w:t>
            </w:r>
          </w:p>
          <w:p>
            <w:pPr>
              <w:pStyle w:val="Normal"/>
              <w:spacing w:before="0" w:after="0"/>
              <w:contextualSpacing/>
              <w:rPr>
                <w:rFonts w:ascii="PF Din Text Cond Pro Light" w:hAnsi="PF Din Text Cond Pro Light" w:cs="PF Din Text Cond Pro Light"/>
                <w:sz w:val="18"/>
                <w:szCs w:val="18"/>
              </w:rPr>
            </w:pPr>
            <w:r>
              <w:rPr>
                <w:rFonts w:cs="PF Din Text Cond Pro Light" w:ascii="PF Din Text Cond Pro Light" w:hAnsi="PF Din Text Cond Pro Light"/>
                <w:sz w:val="18"/>
                <w:szCs w:val="18"/>
              </w:rPr>
              <w:t>«Россети Центр и Приволжье»</w:t>
            </w:r>
          </w:p>
          <w:p>
            <w:pPr>
              <w:pStyle w:val="Normal"/>
              <w:spacing w:before="0" w:after="0"/>
              <w:contextualSpacing/>
              <w:rPr>
                <w:rFonts w:ascii="PF Din Text Cond Pro Light" w:hAnsi="PF Din Text Cond Pro Light" w:cs="PF Din Text Cond Pro Light"/>
                <w:sz w:val="18"/>
                <w:szCs w:val="18"/>
              </w:rPr>
            </w:pPr>
            <w:r>
              <w:rPr>
                <w:rFonts w:cs="PF Din Text Cond Pro Light" w:ascii="PF Din Text Cond Pro Light" w:hAnsi="PF Din Text Cond Pro Light"/>
                <w:sz w:val="18"/>
                <w:szCs w:val="18"/>
              </w:rPr>
            </w:r>
          </w:p>
          <w:p>
            <w:pPr>
              <w:pStyle w:val="Normal"/>
              <w:spacing w:before="0" w:after="0"/>
              <w:ind w:start="-108" w:end="-108"/>
              <w:contextualSpacing/>
              <w:rPr/>
            </w:pPr>
            <w:r>
              <w:rPr>
                <w:rFonts w:cs="PF Din Text Cond Pro Light" w:ascii="PF Din Text Cond Pro Light" w:hAnsi="PF Din Text Cond Pro Light"/>
                <w:sz w:val="18"/>
                <w:szCs w:val="18"/>
              </w:rPr>
              <w:t xml:space="preserve">  </w:t>
            </w:r>
            <w:r>
              <w:rPr>
                <w:rFonts w:cs="PF Din Text Cond Pro Light" w:ascii="PF Din Text Cond Pro Light" w:hAnsi="PF Din Text Cond Pro Light"/>
                <w:sz w:val="18"/>
                <w:szCs w:val="18"/>
              </w:rPr>
              <w:t>Филиал ПАО «Россети Центр и Приволжье» - «Удмуртэнерго»</w:t>
            </w:r>
          </w:p>
          <w:p>
            <w:pPr>
              <w:pStyle w:val="Normal"/>
              <w:spacing w:before="0" w:after="0"/>
              <w:ind w:end="747"/>
              <w:contextualSpacing/>
              <w:rPr>
                <w:rFonts w:ascii="PF Din Text Cond Pro Light" w:hAnsi="PF Din Text Cond Pro Light" w:cs="PF Din Text Cond Pro Light"/>
                <w:sz w:val="18"/>
                <w:szCs w:val="18"/>
              </w:rPr>
            </w:pPr>
            <w:r>
              <w:rPr>
                <w:rFonts w:cs="PF Din Text Cond Pro Light" w:ascii="PF Din Text Cond Pro Light" w:hAnsi="PF Din Text Cond Pro Light"/>
                <w:sz w:val="18"/>
                <w:szCs w:val="18"/>
              </w:rPr>
            </w:r>
          </w:p>
        </w:tc>
      </w:tr>
    </w:tbl>
    <w:p>
      <w:pPr>
        <w:pStyle w:val="Normal"/>
        <w:spacing w:before="0" w:after="0"/>
        <w:contextualSpacing/>
        <w:jc w:val="center"/>
        <w:rPr>
          <w:rFonts w:ascii="PF Din Text Cond Pro" w:hAnsi="PF Din Text Cond Pro" w:eastAsia="Cambria" w:cs="Helios-Regular;Times New Roman"/>
          <w:color w:val="000000"/>
          <w:sz w:val="24"/>
          <w:szCs w:val="24"/>
          <w:lang w:eastAsia="en-US"/>
        </w:rPr>
      </w:pPr>
      <w:r>
        <w:rPr>
          <w:rFonts w:eastAsia="Cambria" w:cs="Helios-Regular;Times New Roman" w:ascii="PF Din Text Cond Pro" w:hAnsi="PF Din Text Cond Pro"/>
          <w:color w:val="000000"/>
          <w:sz w:val="24"/>
          <w:szCs w:val="24"/>
          <w:lang w:eastAsia="en-US"/>
        </w:rPr>
      </w:r>
    </w:p>
    <w:p>
      <w:pPr>
        <w:pStyle w:val="Normal"/>
        <w:spacing w:before="0" w:after="0"/>
        <w:contextualSpacing/>
        <w:jc w:val="center"/>
        <w:rPr>
          <w:rFonts w:ascii="Calibri" w:hAnsi="Calibri" w:eastAsia="Cambria" w:cs="Helios-Regular;Times New Roman"/>
          <w:color w:val="000000"/>
          <w:sz w:val="24"/>
          <w:szCs w:val="24"/>
          <w:lang w:eastAsia="en-US"/>
        </w:rPr>
      </w:pPr>
      <w:r>
        <w:rPr>
          <w:rFonts w:eastAsia="Cambria" w:cs="Helios-Regular;Times New Roman" w:ascii="Calibri" w:hAnsi="Calibri"/>
          <w:color w:val="000000"/>
          <w:sz w:val="24"/>
          <w:szCs w:val="24"/>
          <w:lang w:eastAsia="en-US"/>
        </w:rPr>
      </w:r>
    </w:p>
    <w:p>
      <w:pPr>
        <w:pStyle w:val="Normal"/>
        <w:spacing w:before="0" w:after="0"/>
        <w:contextualSpacing/>
        <w:jc w:val="center"/>
        <w:rPr>
          <w:rFonts w:ascii="Calibri" w:hAnsi="Calibri" w:eastAsia="Cambria" w:cs="Helios-Regular;Times New Roman"/>
          <w:color w:val="000000"/>
          <w:sz w:val="24"/>
          <w:szCs w:val="24"/>
          <w:lang w:eastAsia="en-US"/>
        </w:rPr>
      </w:pPr>
      <w:r>
        <w:rPr>
          <w:rFonts w:eastAsia="Cambria" w:cs="Helios-Regular;Times New Roman" w:ascii="Calibri" w:hAnsi="Calibri"/>
          <w:color w:val="000000"/>
          <w:sz w:val="24"/>
          <w:szCs w:val="24"/>
          <w:lang w:eastAsia="en-US"/>
        </w:rPr>
      </w:r>
    </w:p>
    <w:p>
      <w:pPr>
        <w:pStyle w:val="Normal"/>
        <w:spacing w:before="0" w:after="0"/>
        <w:contextualSpacing/>
        <w:jc w:val="center"/>
        <w:rPr>
          <w:rFonts w:ascii="PF Din Text Cond Pro" w:hAnsi="PF Din Text Cond Pro" w:eastAsia="Cambria" w:cs="Helios-Regular;Times New Roman"/>
          <w:color w:val="000000"/>
          <w:sz w:val="24"/>
          <w:szCs w:val="24"/>
          <w:lang w:eastAsia="en-US"/>
        </w:rPr>
      </w:pPr>
      <w:r>
        <w:rPr>
          <w:rFonts w:eastAsia="Cambria" w:cs="Helios-Regular;Times New Roman" w:ascii="PF Din Text Cond Pro" w:hAnsi="PF Din Text Cond Pro"/>
          <w:color w:val="000000"/>
          <w:sz w:val="24"/>
          <w:szCs w:val="24"/>
          <w:lang w:eastAsia="en-US"/>
        </w:rPr>
        <w:t>ПРОТОКОЛ</w:t>
      </w:r>
    </w:p>
    <w:p>
      <w:pPr>
        <w:pStyle w:val="Style27"/>
        <w:spacing w:lineRule="auto" w:line="240"/>
        <w:jc w:val="center"/>
        <w:rPr>
          <w:rFonts w:ascii="PF Din Text Cond Pro" w:hAnsi="PF Din Text Cond Pro" w:cs="Helios-Regular;Times New Roman"/>
        </w:rPr>
      </w:pPr>
      <w:r>
        <w:rPr>
          <w:rFonts w:cs="Helios-Regular;Times New Roman" w:ascii="PF Din Text Cond Pro" w:hAnsi="PF Din Text Cond Pro"/>
        </w:rPr>
        <w:t>очного заседания Закупочной комиссии по рассмотрению общих частей заявок участников</w:t>
      </w:r>
    </w:p>
    <w:p>
      <w:pPr>
        <w:pStyle w:val="Style27"/>
        <w:rPr>
          <w:rFonts w:ascii="PF Din Text Cond Pro" w:hAnsi="PF Din Text Cond Pro" w:cs="Helios-Regular;Times New Roman"/>
        </w:rPr>
      </w:pPr>
      <w:r>
        <w:rPr>
          <w:rFonts w:cs="Helios-Regular;Times New Roman" w:ascii="PF Din Text Cond Pro" w:hAnsi="PF Din Text Cond Pro"/>
        </w:rPr>
      </w:r>
    </w:p>
    <w:tbl>
      <w:tblPr>
        <w:tblW w:w="10114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878"/>
        <w:gridCol w:w="4236"/>
      </w:tblGrid>
      <w:tr>
        <w:trPr>
          <w:trHeight w:val="705" w:hRule="atLeast"/>
        </w:trPr>
        <w:tc>
          <w:tcPr>
            <w:tcW w:w="5878" w:type="dxa"/>
            <w:tcBorders/>
          </w:tcPr>
          <w:p>
            <w:pPr>
              <w:pStyle w:val="Style27"/>
              <w:rPr>
                <w:rFonts w:ascii="PF Din Text Cond Pro Light" w:hAnsi="PF Din Text Cond Pro Light" w:cs="Times New Roman"/>
                <w:color w:val="000000"/>
              </w:rPr>
            </w:pPr>
            <w:r>
              <w:rPr>
                <w:rFonts w:cs="Times New Roman" w:ascii="PF Din Text Cond Pro Light" w:hAnsi="PF Din Text Cond Pro Light"/>
                <w:color w:val="000000"/>
              </w:rPr>
              <w:t>Дата проведения заседания:             03.03.2025</w:t>
            </w:r>
          </w:p>
          <w:p>
            <w:pPr>
              <w:pStyle w:val="Style27"/>
              <w:rPr>
                <w:rFonts w:ascii="PF Din Text Cond Pro Light" w:hAnsi="PF Din Text Cond Pro Light" w:cs="Times New Roman"/>
              </w:rPr>
            </w:pPr>
            <w:r>
              <w:rPr>
                <w:rFonts w:cs="Times New Roman" w:ascii="PF Din Text Cond Pro Light" w:hAnsi="PF Din Text Cond Pro Light"/>
                <w:color w:val="000000"/>
              </w:rPr>
              <w:t>Дата подписания протокола:             03.03.2025</w:t>
            </w:r>
          </w:p>
        </w:tc>
        <w:tc>
          <w:tcPr>
            <w:tcW w:w="4236" w:type="dxa"/>
            <w:tcBorders/>
            <w:vAlign w:val="bottom"/>
          </w:tcPr>
          <w:p>
            <w:pPr>
              <w:pStyle w:val="Style27"/>
              <w:spacing w:lineRule="auto" w:line="240"/>
              <w:jc w:val="end"/>
              <w:rPr>
                <w:rFonts w:ascii="PF Din Text Cond Pro Light" w:hAnsi="PF Din Text Cond Pro Light" w:cs="Times New Roman"/>
              </w:rPr>
            </w:pPr>
            <w:r>
              <w:rPr>
                <w:rFonts w:cs="Times New Roman" w:ascii="PF Din Text Cond Pro Light" w:hAnsi="PF Din Text Cond Pro Light"/>
              </w:rPr>
              <w:t xml:space="preserve">       №</w:t>
            </w:r>
            <w:r>
              <w:rPr>
                <w:rFonts w:cs="Times New Roman" w:ascii="PF Din Text Cond Pro Light" w:hAnsi="PF Din Text Cond Pro Light"/>
              </w:rPr>
              <w:t>0031-УД-25-1</w:t>
            </w:r>
          </w:p>
        </w:tc>
      </w:tr>
    </w:tbl>
    <w:p>
      <w:pPr>
        <w:pStyle w:val="Style27"/>
        <w:jc w:val="center"/>
        <w:rPr>
          <w:rFonts w:ascii="PF Din Text Cond Pro Light" w:hAnsi="PF Din Text Cond Pro Light" w:cs="Times New Roman"/>
          <w:color w:val="000000"/>
        </w:rPr>
      </w:pPr>
      <w:r>
        <w:rPr>
          <w:rFonts w:cs="Times New Roman" w:ascii="PF Din Text Cond Pro Light" w:hAnsi="PF Din Text Cond Pro Light"/>
          <w:color w:val="000000"/>
        </w:rPr>
      </w:r>
    </w:p>
    <w:p>
      <w:pPr>
        <w:pStyle w:val="Style27"/>
        <w:jc w:val="center"/>
        <w:rPr>
          <w:rFonts w:ascii="PF Din Text Cond Pro Light" w:hAnsi="PF Din Text Cond Pro Light" w:cs="Times New Roman"/>
          <w:color w:val="000000"/>
        </w:rPr>
      </w:pPr>
      <w:r>
        <w:rPr>
          <w:rFonts w:cs="Times New Roman" w:ascii="PF Din Text Cond Pro Light" w:hAnsi="PF Din Text Cond Pro Light"/>
          <w:color w:val="000000"/>
        </w:rPr>
        <w:t xml:space="preserve">г. Ижевск </w:t>
      </w:r>
    </w:p>
    <w:p>
      <w:pPr>
        <w:pStyle w:val="Normal"/>
        <w:widowControl w:val="false"/>
        <w:tabs>
          <w:tab w:val="clear" w:pos="720"/>
          <w:tab w:val="left" w:pos="426" w:leader="none"/>
        </w:tabs>
        <w:autoSpaceDE w:val="false"/>
        <w:jc w:val="both"/>
        <w:rPr>
          <w:rFonts w:ascii="PF Din Text Cond Pro Light" w:hAnsi="PF Din Text Cond Pro Light" w:cs="Times New Roman"/>
          <w:b/>
          <w:color w:val="000000"/>
          <w:sz w:val="23"/>
          <w:szCs w:val="23"/>
        </w:rPr>
      </w:pPr>
      <w:r>
        <w:rPr>
          <w:rFonts w:cs="Times New Roman" w:ascii="PF Din Text Cond Pro Light" w:hAnsi="PF Din Text Cond Pro Light"/>
          <w:b/>
          <w:color w:val="000000"/>
          <w:sz w:val="23"/>
          <w:szCs w:val="23"/>
        </w:rPr>
      </w:r>
    </w:p>
    <w:p>
      <w:pPr>
        <w:pStyle w:val="Normal"/>
        <w:widowControl w:val="false"/>
        <w:tabs>
          <w:tab w:val="clear" w:pos="720"/>
          <w:tab w:val="left" w:pos="426" w:leader="none"/>
        </w:tabs>
        <w:autoSpaceDE w:val="false"/>
        <w:jc w:val="both"/>
        <w:rPr/>
      </w:pPr>
      <w:r>
        <w:rPr>
          <w:b/>
          <w:sz w:val="23"/>
          <w:szCs w:val="23"/>
        </w:rPr>
        <w:tab/>
      </w:r>
      <w:r>
        <w:rPr>
          <w:b/>
          <w:sz w:val="24"/>
          <w:szCs w:val="24"/>
        </w:rPr>
        <w:t>СПОСОБ И ПРЕДМЕТ ЗАКУПКИ:</w:t>
      </w:r>
      <w:r>
        <w:rPr>
          <w:sz w:val="24"/>
          <w:szCs w:val="24"/>
        </w:rPr>
        <w:t xml:space="preserve"> </w:t>
      </w:r>
      <w:r>
        <w:rPr>
          <w:color w:val="000000"/>
          <w:sz w:val="24"/>
          <w:szCs w:val="24"/>
          <w:shd w:fill="FFFFFF" w:val="clear"/>
        </w:rPr>
        <w:t xml:space="preserve">запрос цен по результатам конкурентного предварительного отбора на право заключения соглашений о проведении в дальнейшем конкурентных закупок на право заключения Договоров на выполнение строительно-монтажных и пуско-наладочных работ по объектам распределительных сетей 0,4-10 кВ, РУ 6-10 кВ на ПС (новое строительство, техперевооружение, реконструкция, выносы, ремонты), а также работ «под ключ» (работ, включающих проектирование и поставку) по объектам технологического присоединения (далее – запрос цен, закупка) на право заключения договора на выполнение работ на объекте: </w:t>
      </w:r>
      <w:r>
        <w:rPr>
          <w:b/>
          <w:color w:val="000000"/>
          <w:sz w:val="24"/>
          <w:szCs w:val="24"/>
          <w:shd w:fill="FFFFFF" w:val="clear"/>
        </w:rPr>
        <w:t xml:space="preserve">«ПИР СМР Строительство ВЛ-0,4 кВ ТП № 1134 ф.12 Каменное к.н.(18:08:083002:194) Завьяловского района (Г)»   </w:t>
      </w:r>
      <w:r>
        <w:rPr>
          <w:color w:val="000000"/>
          <w:sz w:val="24"/>
          <w:szCs w:val="24"/>
          <w:shd w:fill="FFFFFF" w:val="clear"/>
        </w:rPr>
        <w:t>для нужд филиала ПАО «Россети Центр и Приволжье» - «Удмуртэнерго».</w:t>
      </w:r>
    </w:p>
    <w:p>
      <w:pPr>
        <w:pStyle w:val="Normal"/>
        <w:widowControl w:val="false"/>
        <w:tabs>
          <w:tab w:val="clear" w:pos="720"/>
          <w:tab w:val="left" w:pos="426" w:leader="none"/>
        </w:tabs>
        <w:autoSpaceDE w:val="false"/>
        <w:jc w:val="both"/>
        <w:rPr>
          <w:color w:val="000000"/>
          <w:sz w:val="24"/>
          <w:szCs w:val="24"/>
          <w:shd w:fill="FFFFFF" w:val="clear"/>
        </w:rPr>
      </w:pPr>
      <w:r>
        <w:rPr>
          <w:color w:val="000000"/>
          <w:sz w:val="24"/>
          <w:szCs w:val="24"/>
          <w:shd w:fill="FFFFFF" w:val="clear"/>
        </w:rPr>
      </w:r>
    </w:p>
    <w:p>
      <w:pPr>
        <w:pStyle w:val="Normal"/>
        <w:widowControl w:val="false"/>
        <w:tabs>
          <w:tab w:val="clear" w:pos="720"/>
          <w:tab w:val="left" w:pos="284" w:leader="none"/>
          <w:tab w:val="left" w:pos="426" w:leader="none"/>
        </w:tabs>
        <w:autoSpaceDE w:val="false"/>
        <w:jc w:val="both"/>
        <w:rPr>
          <w:sz w:val="24"/>
          <w:szCs w:val="24"/>
        </w:rPr>
      </w:pPr>
      <w:r>
        <w:rPr>
          <w:sz w:val="24"/>
          <w:szCs w:val="24"/>
        </w:rPr>
        <w:tab/>
        <w:tab/>
        <w:t>Запрос цен проводится на основании Приказа директора филиала ПАО «Россети Центр и Приволжье» - «Удмуртэнерго» от 29.01.2025 № УдЭ – 72.</w:t>
      </w:r>
    </w:p>
    <w:p>
      <w:pPr>
        <w:pStyle w:val="Normal"/>
        <w:widowControl w:val="false"/>
        <w:tabs>
          <w:tab w:val="clear" w:pos="720"/>
          <w:tab w:val="left" w:pos="426" w:leader="none"/>
        </w:tabs>
        <w:autoSpaceDE w:val="false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"/>
        <w:widowControl w:val="false"/>
        <w:tabs>
          <w:tab w:val="clear" w:pos="720"/>
          <w:tab w:val="left" w:pos="426" w:leader="none"/>
        </w:tabs>
        <w:autoSpaceDE w:val="false"/>
        <w:jc w:val="both"/>
        <w:rPr/>
      </w:pPr>
      <w:r>
        <w:rPr>
          <w:b/>
          <w:sz w:val="24"/>
          <w:szCs w:val="24"/>
        </w:rPr>
        <w:tab/>
        <w:t xml:space="preserve">Заказчик и Организатор закупки (далее – Организатор): </w:t>
      </w:r>
      <w:r>
        <w:rPr>
          <w:sz w:val="24"/>
          <w:szCs w:val="24"/>
        </w:rPr>
        <w:t xml:space="preserve">филиал ПАО «Россети Центр и Приволжье» - «Удмуртэнерго», расположенный по адресу: РФ, </w:t>
      </w:r>
      <w:r>
        <w:rPr>
          <w:bCs/>
          <w:sz w:val="24"/>
          <w:szCs w:val="24"/>
        </w:rPr>
        <w:t>426004, г. Ижевск, ул. Советская, 30</w:t>
      </w:r>
      <w:r>
        <w:rPr>
          <w:sz w:val="24"/>
          <w:szCs w:val="24"/>
        </w:rPr>
        <w:t>.</w:t>
      </w:r>
    </w:p>
    <w:p>
      <w:pPr>
        <w:pStyle w:val="Normal"/>
        <w:widowControl w:val="false"/>
        <w:tabs>
          <w:tab w:val="clear" w:pos="720"/>
          <w:tab w:val="left" w:pos="426" w:leader="none"/>
        </w:tabs>
        <w:autoSpaceDE w:val="false"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BodyText"/>
        <w:widowControl w:val="false"/>
        <w:ind w:firstLine="426" w:end="-6"/>
        <w:rPr>
          <w:color w:val="000000"/>
          <w:szCs w:val="24"/>
          <w:shd w:fill="FFFFFF" w:val="clear"/>
          <w:lang w:val="ru-RU"/>
        </w:rPr>
      </w:pPr>
      <w:r>
        <w:rPr>
          <w:szCs w:val="24"/>
        </w:rPr>
        <w:t xml:space="preserve">Извещение о проведении запроса цен было разработано Организатором, утверждено протоколом заседания Закупочной комиссии от </w:t>
      </w:r>
      <w:r>
        <w:rPr>
          <w:szCs w:val="24"/>
          <w:lang w:val="ru-RU"/>
        </w:rPr>
        <w:t>12</w:t>
      </w:r>
      <w:r>
        <w:rPr>
          <w:szCs w:val="24"/>
        </w:rPr>
        <w:t>.</w:t>
      </w:r>
      <w:r>
        <w:rPr>
          <w:szCs w:val="24"/>
          <w:lang w:val="ru-RU"/>
        </w:rPr>
        <w:t>02.</w:t>
      </w:r>
      <w:r>
        <w:rPr>
          <w:szCs w:val="24"/>
        </w:rPr>
        <w:t>202</w:t>
      </w:r>
      <w:r>
        <w:rPr>
          <w:szCs w:val="24"/>
          <w:lang w:val="ru-RU"/>
        </w:rPr>
        <w:t>5</w:t>
      </w:r>
      <w:r>
        <w:rPr>
          <w:szCs w:val="24"/>
        </w:rPr>
        <w:t xml:space="preserve"> №0031-УД-2</w:t>
      </w:r>
      <w:r>
        <w:rPr>
          <w:szCs w:val="24"/>
          <w:lang w:val="ru-RU"/>
        </w:rPr>
        <w:t>5,</w:t>
      </w:r>
      <w:r>
        <w:rPr>
          <w:szCs w:val="24"/>
        </w:rPr>
        <w:t xml:space="preserve"> опубликовано </w:t>
      </w:r>
      <w:r>
        <w:rPr>
          <w:szCs w:val="24"/>
          <w:lang w:val="ru-RU"/>
        </w:rPr>
        <w:t xml:space="preserve">12.02.2025 </w:t>
      </w:r>
      <w:r>
        <w:rPr>
          <w:szCs w:val="24"/>
        </w:rPr>
        <w:t xml:space="preserve">на официальном сайте Единой информационной системы в сфере закупок </w:t>
      </w:r>
      <w:hyperlink r:id="rId3">
        <w:r>
          <w:rPr>
            <w:rStyle w:val="Hyperlink"/>
            <w:szCs w:val="24"/>
          </w:rPr>
          <w:t>www.zakupki.gov.ru</w:t>
        </w:r>
      </w:hyperlink>
      <w:r>
        <w:rPr>
          <w:szCs w:val="24"/>
          <w:lang w:val="ru-RU"/>
        </w:rPr>
        <w:t xml:space="preserve">,на сайте  Электронной торговой площадки Российского аукционного дома (РАД) www.tender.lot-online.ru (далее ЭТП):  № </w:t>
      </w:r>
      <w:r>
        <w:rPr>
          <w:color w:val="000000"/>
          <w:szCs w:val="24"/>
          <w:shd w:fill="FFFFFF" w:val="clear"/>
          <w:lang w:val="ru-RU"/>
        </w:rPr>
        <w:t>32514505719.</w:t>
      </w:r>
    </w:p>
    <w:p>
      <w:pPr>
        <w:pStyle w:val="BodyText"/>
        <w:widowControl w:val="false"/>
        <w:ind w:firstLine="426" w:end="-6"/>
        <w:rPr>
          <w:color w:val="000000"/>
          <w:szCs w:val="24"/>
          <w:shd w:fill="FFFFFF" w:val="clear"/>
          <w:lang w:val="ru-RU"/>
        </w:rPr>
      </w:pPr>
      <w:r>
        <w:rPr>
          <w:color w:val="000000"/>
          <w:szCs w:val="24"/>
          <w:shd w:fill="FFFFFF" w:val="clear"/>
          <w:lang w:val="ru-RU"/>
        </w:rPr>
      </w:r>
    </w:p>
    <w:p>
      <w:pPr>
        <w:pStyle w:val="Style25"/>
        <w:tabs>
          <w:tab w:val="clear" w:pos="1134"/>
        </w:tabs>
        <w:spacing w:lineRule="auto" w:line="240"/>
        <w:ind w:firstLine="426" w:start="0" w:end="0"/>
        <w:rPr>
          <w:sz w:val="24"/>
          <w:szCs w:val="24"/>
        </w:rPr>
      </w:pPr>
      <w:r>
        <w:rPr>
          <w:sz w:val="24"/>
          <w:szCs w:val="24"/>
        </w:rPr>
        <w:t xml:space="preserve">В соответствии с </w:t>
      </w:r>
      <w:r>
        <w:rPr>
          <w:sz w:val="24"/>
          <w:szCs w:val="24"/>
          <w:lang w:val="ru-RU"/>
        </w:rPr>
        <w:t>И</w:t>
      </w:r>
      <w:r>
        <w:rPr>
          <w:sz w:val="24"/>
          <w:szCs w:val="24"/>
        </w:rPr>
        <w:t>звещением о проведении запроса цен</w:t>
      </w:r>
      <w:r>
        <w:rPr>
          <w:sz w:val="24"/>
          <w:szCs w:val="24"/>
          <w:lang w:val="ru-RU"/>
        </w:rPr>
        <w:t>:</w:t>
      </w:r>
      <w:r>
        <w:rPr>
          <w:sz w:val="24"/>
          <w:szCs w:val="24"/>
        </w:rPr>
        <w:t xml:space="preserve"> </w:t>
      </w:r>
    </w:p>
    <w:p>
      <w:pPr>
        <w:pStyle w:val="Style25"/>
        <w:tabs>
          <w:tab w:val="clear" w:pos="1134"/>
        </w:tabs>
        <w:spacing w:lineRule="auto" w:line="240"/>
        <w:ind w:firstLine="426" w:start="0" w:end="0"/>
        <w:rPr>
          <w:sz w:val="24"/>
          <w:szCs w:val="24"/>
        </w:rPr>
      </w:pPr>
      <w:r>
        <w:rPr>
          <w:sz w:val="24"/>
          <w:szCs w:val="24"/>
        </w:rPr>
        <w:t>начальная (максимальная) цена Договора составляет:</w:t>
      </w:r>
    </w:p>
    <w:p>
      <w:pPr>
        <w:pStyle w:val="Style25"/>
        <w:tabs>
          <w:tab w:val="clear" w:pos="1134"/>
        </w:tabs>
        <w:spacing w:lineRule="auto" w:line="240"/>
        <w:ind w:hanging="0" w:start="0" w:end="0"/>
        <w:rPr/>
      </w:pPr>
      <w:r>
        <w:rPr>
          <w:rStyle w:val="Strong"/>
          <w:sz w:val="24"/>
          <w:szCs w:val="24"/>
        </w:rPr>
        <w:t>573 794,40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lang w:val="ru-RU"/>
        </w:rPr>
        <w:t>руб. с учетом</w:t>
      </w:r>
      <w:r>
        <w:rPr>
          <w:sz w:val="24"/>
          <w:szCs w:val="24"/>
        </w:rPr>
        <w:t xml:space="preserve"> НДС; </w:t>
      </w:r>
    </w:p>
    <w:p>
      <w:pPr>
        <w:pStyle w:val="Style25"/>
        <w:tabs>
          <w:tab w:val="clear" w:pos="1134"/>
        </w:tabs>
        <w:spacing w:lineRule="auto" w:line="240"/>
        <w:ind w:hanging="0" w:start="0" w:end="0"/>
        <w:rPr>
          <w:sz w:val="24"/>
          <w:szCs w:val="24"/>
          <w:lang w:val="ru-RU"/>
        </w:rPr>
      </w:pPr>
      <w:r>
        <w:rPr>
          <w:rStyle w:val="Strong"/>
          <w:sz w:val="24"/>
          <w:szCs w:val="24"/>
        </w:rPr>
        <w:t>95 632,40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lang w:val="ru-RU"/>
        </w:rPr>
        <w:t>руб. НДС 20 %</w:t>
      </w:r>
    </w:p>
    <w:p>
      <w:pPr>
        <w:pStyle w:val="Style25"/>
        <w:tabs>
          <w:tab w:val="clear" w:pos="1134"/>
        </w:tabs>
        <w:spacing w:lineRule="auto" w:line="240"/>
        <w:ind w:firstLine="426" w:start="0" w:end="0"/>
        <w:rPr/>
      </w:pPr>
      <w:r>
        <w:rPr>
          <w:sz w:val="24"/>
          <w:szCs w:val="24"/>
        </w:rPr>
        <w:t xml:space="preserve">-  сроки выполнения работ: начало – с даты подписания договора, окончание – не позднее </w:t>
      </w:r>
      <w:r>
        <w:rPr>
          <w:sz w:val="24"/>
          <w:szCs w:val="24"/>
          <w:lang w:val="ru-RU"/>
        </w:rPr>
        <w:t>30</w:t>
      </w:r>
      <w:r>
        <w:rPr>
          <w:sz w:val="24"/>
          <w:szCs w:val="24"/>
        </w:rPr>
        <w:t>.</w:t>
      </w:r>
      <w:r>
        <w:rPr>
          <w:sz w:val="24"/>
          <w:szCs w:val="24"/>
          <w:lang w:val="ru-RU"/>
        </w:rPr>
        <w:t>06</w:t>
      </w:r>
      <w:r>
        <w:rPr>
          <w:sz w:val="24"/>
          <w:szCs w:val="24"/>
        </w:rPr>
        <w:t>.2025;</w:t>
      </w:r>
    </w:p>
    <w:p>
      <w:pPr>
        <w:pStyle w:val="Style25"/>
        <w:tabs>
          <w:tab w:val="clear" w:pos="1134"/>
        </w:tabs>
        <w:spacing w:lineRule="auto" w:line="240"/>
        <w:ind w:firstLine="426" w:start="0" w:end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BodyText"/>
        <w:widowControl w:val="false"/>
        <w:ind w:firstLine="426" w:end="0"/>
        <w:rPr>
          <w:szCs w:val="24"/>
        </w:rPr>
      </w:pPr>
      <w:r>
        <w:rPr>
          <w:szCs w:val="24"/>
        </w:rPr>
        <w:t>- объем закупаемых работ: согласно требований, изложенных в Техническом задании (Приложение № 1 к Извещению о проведении запроса цен).</w:t>
      </w:r>
    </w:p>
    <w:p>
      <w:pPr>
        <w:pStyle w:val="Style25"/>
        <w:tabs>
          <w:tab w:val="clear" w:pos="1134"/>
        </w:tabs>
        <w:spacing w:lineRule="auto" w:line="240"/>
        <w:ind w:firstLine="426" w:start="0" w:end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ind w:firstLine="426" w:end="0"/>
        <w:jc w:val="both"/>
        <w:rPr>
          <w:b/>
          <w:caps/>
          <w:sz w:val="24"/>
          <w:szCs w:val="24"/>
        </w:rPr>
      </w:pPr>
      <w:r>
        <w:rPr>
          <w:b/>
          <w:caps/>
          <w:sz w:val="24"/>
          <w:szCs w:val="24"/>
        </w:rPr>
        <w:t xml:space="preserve">Состав закупочной комиссии: </w:t>
      </w:r>
    </w:p>
    <w:p>
      <w:pPr>
        <w:pStyle w:val="Normal"/>
        <w:widowControl w:val="false"/>
        <w:ind w:firstLine="426" w:end="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Состав </w:t>
      </w:r>
      <w:r>
        <w:rPr>
          <w:sz w:val="24"/>
          <w:szCs w:val="24"/>
        </w:rPr>
        <w:t xml:space="preserve">Закупочной </w:t>
      </w:r>
      <w:r>
        <w:rPr>
          <w:sz w:val="24"/>
          <w:szCs w:val="24"/>
          <w:lang w:val="en-US"/>
        </w:rPr>
        <w:t>комиссии утвержден</w:t>
      </w:r>
      <w:r>
        <w:rPr>
          <w:sz w:val="24"/>
          <w:szCs w:val="24"/>
        </w:rPr>
        <w:t xml:space="preserve"> приказом директора филиала ПАО «Россети Центр и Приволжье» - «Удмуртэнерго»  от 29.01.2025 № УдЭ – 72 </w:t>
      </w:r>
      <w:r>
        <w:rPr>
          <w:sz w:val="24"/>
          <w:szCs w:val="24"/>
          <w:lang w:val="en-US"/>
        </w:rPr>
        <w:t xml:space="preserve">и приказом директора филиала ПАО «Россети Центр и Приволжье» - «Удмуртэнерго»  от </w:t>
      </w:r>
      <w:r>
        <w:rPr>
          <w:sz w:val="24"/>
          <w:szCs w:val="24"/>
        </w:rPr>
        <w:t>03.02.2025</w:t>
      </w:r>
      <w:r>
        <w:rPr>
          <w:sz w:val="24"/>
          <w:szCs w:val="24"/>
          <w:lang w:val="en-US"/>
        </w:rPr>
        <w:t xml:space="preserve"> № УдЭ – 8</w:t>
      </w:r>
      <w:r>
        <w:rPr>
          <w:sz w:val="24"/>
          <w:szCs w:val="24"/>
        </w:rPr>
        <w:t>0</w:t>
      </w:r>
      <w:r>
        <w:rPr>
          <w:sz w:val="24"/>
          <w:szCs w:val="24"/>
          <w:lang w:val="en-US"/>
        </w:rPr>
        <w:t xml:space="preserve"> (о внесении изменений в состав закупочной комиссии)</w:t>
      </w:r>
      <w:r>
        <w:rPr>
          <w:sz w:val="24"/>
          <w:szCs w:val="24"/>
        </w:rPr>
        <w:t>.</w:t>
      </w:r>
    </w:p>
    <w:tbl>
      <w:tblPr>
        <w:tblW w:w="9923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985"/>
        <w:gridCol w:w="5103"/>
        <w:gridCol w:w="2835"/>
      </w:tblGrid>
      <w:tr>
        <w:trPr>
          <w:trHeight w:val="70" w:hRule="atLeast"/>
        </w:trPr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ФИО</w:t>
            </w:r>
          </w:p>
        </w:tc>
        <w:tc>
          <w:tcPr>
            <w:tcW w:w="51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Должность</w:t>
            </w:r>
          </w:p>
        </w:tc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Статус в составе комиссии</w:t>
            </w:r>
          </w:p>
        </w:tc>
      </w:tr>
      <w:tr>
        <w:trPr>
          <w:trHeight w:val="70" w:hRule="atLeast"/>
        </w:trPr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Малышев А.А.</w:t>
            </w:r>
          </w:p>
        </w:tc>
        <w:tc>
          <w:tcPr>
            <w:tcW w:w="51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Директор </w:t>
            </w:r>
            <w:r>
              <w:rPr>
                <w:bCs/>
                <w:sz w:val="22"/>
                <w:szCs w:val="22"/>
              </w:rPr>
              <w:t>филиала ПАО «Россети Центр и Приволжье» - «Удмуртэнерго»</w:t>
            </w:r>
          </w:p>
        </w:tc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Председатель закупочной комиссии</w:t>
            </w:r>
          </w:p>
        </w:tc>
      </w:tr>
      <w:tr>
        <w:trPr>
          <w:trHeight w:val="70" w:hRule="atLeast"/>
        </w:trPr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Петрова Н.А.</w:t>
            </w:r>
          </w:p>
        </w:tc>
        <w:tc>
          <w:tcPr>
            <w:tcW w:w="51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Начальник отдела закупочной деятельности </w:t>
            </w:r>
            <w:r>
              <w:rPr>
                <w:bCs/>
                <w:sz w:val="22"/>
                <w:szCs w:val="22"/>
              </w:rPr>
              <w:t>филиала ПАО «Россети Центр и Приволжье» - «Удмуртэнерго»</w:t>
            </w:r>
          </w:p>
        </w:tc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Заместитель председателя</w:t>
            </w:r>
          </w:p>
          <w:p>
            <w:pPr>
              <w:pStyle w:val="Normal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закупочной комиссии</w:t>
            </w:r>
          </w:p>
        </w:tc>
      </w:tr>
      <w:tr>
        <w:trPr>
          <w:trHeight w:val="337" w:hRule="atLeast"/>
        </w:trPr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Григорьев К.В.</w:t>
            </w:r>
          </w:p>
        </w:tc>
        <w:tc>
          <w:tcPr>
            <w:tcW w:w="51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И.о. Первого заместителя директора – Главного инженера </w:t>
            </w:r>
            <w:r>
              <w:rPr>
                <w:bCs/>
                <w:sz w:val="22"/>
                <w:szCs w:val="22"/>
              </w:rPr>
              <w:t>филиала ПАО «Россети Центр и Приволжье» - «Удмуртэнерго»</w:t>
            </w:r>
          </w:p>
        </w:tc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Член Закупочной комиссии</w:t>
            </w:r>
          </w:p>
        </w:tc>
      </w:tr>
      <w:tr>
        <w:trPr>
          <w:trHeight w:val="337" w:hRule="atLeast"/>
        </w:trPr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Пушин А.М.</w:t>
            </w:r>
          </w:p>
        </w:tc>
        <w:tc>
          <w:tcPr>
            <w:tcW w:w="51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Заместитель директора по безопасности </w:t>
            </w:r>
            <w:r>
              <w:rPr>
                <w:bCs/>
                <w:sz w:val="22"/>
                <w:szCs w:val="22"/>
              </w:rPr>
              <w:t>филиала ПАО «Россети Центр и Приволжье» - «Удмуртэнерго»</w:t>
            </w:r>
          </w:p>
        </w:tc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Член закупочной комиссии</w:t>
            </w:r>
          </w:p>
        </w:tc>
      </w:tr>
      <w:tr>
        <w:trPr>
          <w:trHeight w:val="337" w:hRule="atLeast"/>
        </w:trPr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Мозоль Д.В.</w:t>
            </w:r>
          </w:p>
        </w:tc>
        <w:tc>
          <w:tcPr>
            <w:tcW w:w="51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Заместитель директора по экономике и финансам </w:t>
            </w:r>
            <w:r>
              <w:rPr>
                <w:bCs/>
                <w:sz w:val="22"/>
                <w:szCs w:val="22"/>
              </w:rPr>
              <w:t>филиала ПАО «Россети Центр и Приволжье» - «Удмуртэнерго»</w:t>
            </w:r>
          </w:p>
        </w:tc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Член закупочной комиссии</w:t>
            </w:r>
          </w:p>
        </w:tc>
      </w:tr>
      <w:tr>
        <w:trPr>
          <w:trHeight w:val="337" w:hRule="atLeast"/>
        </w:trPr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Лушников И.П.</w:t>
            </w:r>
          </w:p>
        </w:tc>
        <w:tc>
          <w:tcPr>
            <w:tcW w:w="51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Заместитель директора по инвестиционной деятельности </w:t>
            </w:r>
            <w:r>
              <w:rPr>
                <w:bCs/>
                <w:sz w:val="22"/>
                <w:szCs w:val="22"/>
              </w:rPr>
              <w:t>филиала ПАО «Россети Центр и Приволжье» - «Удмуртэнерго»</w:t>
            </w:r>
          </w:p>
        </w:tc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Член закупочной комиссии</w:t>
            </w:r>
          </w:p>
        </w:tc>
      </w:tr>
      <w:tr>
        <w:trPr>
          <w:trHeight w:val="337" w:hRule="atLeast"/>
        </w:trPr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Гараев Л.А.</w:t>
            </w:r>
          </w:p>
        </w:tc>
        <w:tc>
          <w:tcPr>
            <w:tcW w:w="51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Заместитель директора по реализации услуг</w:t>
            </w:r>
          </w:p>
          <w:p>
            <w:pPr>
              <w:pStyle w:val="Normal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филиала ПАО «Россети Центр и Приволжье» - «Удмуртэнерго»</w:t>
            </w:r>
          </w:p>
        </w:tc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Член закупочной комиссии</w:t>
            </w:r>
          </w:p>
        </w:tc>
      </w:tr>
      <w:tr>
        <w:trPr>
          <w:trHeight w:val="337" w:hRule="atLeast"/>
        </w:trPr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Ярынченко И.О.</w:t>
            </w:r>
          </w:p>
        </w:tc>
        <w:tc>
          <w:tcPr>
            <w:tcW w:w="51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Начальник управления правового обеспечения </w:t>
            </w:r>
            <w:r>
              <w:rPr>
                <w:bCs/>
                <w:sz w:val="22"/>
                <w:szCs w:val="22"/>
              </w:rPr>
              <w:t>филиала ПАО «Россети Центр и Приволжье» - «Удмуртэнерго»</w:t>
            </w:r>
          </w:p>
        </w:tc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Член закупочной комиссии</w:t>
            </w:r>
          </w:p>
        </w:tc>
      </w:tr>
      <w:tr>
        <w:trPr>
          <w:trHeight w:val="337" w:hRule="atLeast"/>
        </w:trPr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Саблина Н.Н.</w:t>
            </w:r>
          </w:p>
        </w:tc>
        <w:tc>
          <w:tcPr>
            <w:tcW w:w="51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Начальник управления логистики и МТО </w:t>
            </w:r>
            <w:r>
              <w:rPr>
                <w:bCs/>
                <w:sz w:val="22"/>
                <w:szCs w:val="22"/>
              </w:rPr>
              <w:t>филиала ПАО «Россети Центр и Приволжье» - «Удмуртэнерго»</w:t>
            </w:r>
          </w:p>
        </w:tc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Член закупочной комиссии</w:t>
            </w:r>
          </w:p>
        </w:tc>
      </w:tr>
      <w:tr>
        <w:trPr>
          <w:trHeight w:val="337" w:hRule="atLeast"/>
        </w:trPr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Солянин Р.В.</w:t>
            </w:r>
          </w:p>
        </w:tc>
        <w:tc>
          <w:tcPr>
            <w:tcW w:w="51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И.о. заместителя генерального директора по инвестиционной деятельности и капитальному строительству ПАО «Россети Центр»</w:t>
            </w:r>
          </w:p>
        </w:tc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Член Закупочной комиссии</w:t>
            </w:r>
          </w:p>
          <w:p>
            <w:pPr>
              <w:pStyle w:val="Normal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(по опросному листу)</w:t>
            </w:r>
          </w:p>
        </w:tc>
      </w:tr>
      <w:tr>
        <w:trPr>
          <w:trHeight w:val="337" w:hRule="atLeast"/>
        </w:trPr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Уткин Д.С.</w:t>
            </w:r>
          </w:p>
        </w:tc>
        <w:tc>
          <w:tcPr>
            <w:tcW w:w="51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Заместитель начальника отдела закупочной деятельности </w:t>
            </w:r>
            <w:r>
              <w:rPr>
                <w:bCs/>
                <w:sz w:val="22"/>
                <w:szCs w:val="22"/>
              </w:rPr>
              <w:t>филиала ПАО «Россети Центр и Приволжье» - «Удмуртэнерго»</w:t>
            </w:r>
          </w:p>
        </w:tc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Секретарь комиссии (без права голоса)</w:t>
            </w:r>
          </w:p>
        </w:tc>
      </w:tr>
    </w:tbl>
    <w:p>
      <w:pPr>
        <w:pStyle w:val="Normal"/>
        <w:widowControl w:val="false"/>
        <w:numPr>
          <w:ilvl w:val="0"/>
          <w:numId w:val="0"/>
        </w:numPr>
        <w:jc w:val="both"/>
        <w:outlineLvl w:val="1"/>
        <w:rPr/>
      </w:pPr>
      <w:r>
        <w:rPr>
          <w:sz w:val="24"/>
          <w:szCs w:val="24"/>
        </w:rPr>
        <w:t xml:space="preserve">         </w:t>
      </w:r>
      <w:r>
        <w:rPr>
          <w:sz w:val="24"/>
          <w:szCs w:val="24"/>
        </w:rPr>
        <w:t>На заседании Закупочной комиссии присутствует не менее чем пятьдесят процентов общего числа ее членов. Кворум имеется, комиссия правомочна.</w:t>
      </w:r>
    </w:p>
    <w:p>
      <w:pPr>
        <w:pStyle w:val="Normal"/>
        <w:widowControl w:val="false"/>
        <w:numPr>
          <w:ilvl w:val="0"/>
          <w:numId w:val="0"/>
        </w:numPr>
        <w:jc w:val="both"/>
        <w:outlineLvl w:val="1"/>
        <w:rPr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"/>
        <w:widowControl w:val="false"/>
        <w:numPr>
          <w:ilvl w:val="0"/>
          <w:numId w:val="0"/>
        </w:numPr>
        <w:ind w:firstLine="426" w:end="0"/>
        <w:jc w:val="both"/>
        <w:outlineLvl w:val="1"/>
        <w:rPr>
          <w:b/>
          <w:sz w:val="24"/>
          <w:szCs w:val="24"/>
        </w:rPr>
      </w:pPr>
      <w:r>
        <w:rPr>
          <w:b/>
          <w:sz w:val="24"/>
          <w:szCs w:val="24"/>
        </w:rPr>
        <w:t>КРАТКИЙ ОТЧЕТ:</w:t>
      </w:r>
    </w:p>
    <w:p>
      <w:pPr>
        <w:pStyle w:val="BodyText"/>
        <w:widowControl w:val="false"/>
        <w:ind w:end="-6"/>
        <w:rPr/>
      </w:pPr>
      <w:r>
        <w:rPr>
          <w:szCs w:val="24"/>
          <w:lang w:val="ru-RU"/>
        </w:rPr>
        <w:t xml:space="preserve">        </w:t>
      </w:r>
      <w:r>
        <w:rPr>
          <w:szCs w:val="24"/>
        </w:rPr>
        <w:t xml:space="preserve">До окончания срока подачи Заявок на сайт ЭТП </w:t>
      </w:r>
      <w:hyperlink r:id="rId4">
        <w:r>
          <w:rPr>
            <w:rStyle w:val="Hyperlink"/>
            <w:szCs w:val="24"/>
          </w:rPr>
          <w:t>https://tender.lot-online.ru</w:t>
        </w:r>
      </w:hyperlink>
      <w:r>
        <w:rPr>
          <w:szCs w:val="24"/>
        </w:rPr>
        <w:t xml:space="preserve"> поступил</w:t>
      </w:r>
      <w:r>
        <w:rPr>
          <w:szCs w:val="24"/>
          <w:lang w:val="ru-RU"/>
        </w:rPr>
        <w:t>а</w:t>
      </w:r>
      <w:r>
        <w:rPr>
          <w:szCs w:val="24"/>
        </w:rPr>
        <w:t xml:space="preserve"> следующ</w:t>
      </w:r>
      <w:r>
        <w:rPr>
          <w:szCs w:val="24"/>
          <w:lang w:val="ru-RU"/>
        </w:rPr>
        <w:t>ая</w:t>
      </w:r>
      <w:r>
        <w:rPr>
          <w:szCs w:val="24"/>
        </w:rPr>
        <w:t xml:space="preserve"> общ</w:t>
      </w:r>
      <w:r>
        <w:rPr>
          <w:szCs w:val="24"/>
          <w:lang w:val="ru-RU"/>
        </w:rPr>
        <w:t>ая</w:t>
      </w:r>
      <w:r>
        <w:rPr>
          <w:szCs w:val="24"/>
        </w:rPr>
        <w:t xml:space="preserve"> часть заяв</w:t>
      </w:r>
      <w:r>
        <w:rPr>
          <w:szCs w:val="24"/>
          <w:lang w:val="ru-RU"/>
        </w:rPr>
        <w:t>ки</w:t>
      </w:r>
      <w:r>
        <w:rPr/>
        <w:t>:</w:t>
      </w:r>
    </w:p>
    <w:tbl>
      <w:tblPr>
        <w:tblW w:w="10234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709"/>
        <w:gridCol w:w="6832"/>
        <w:gridCol w:w="2693"/>
      </w:tblGrid>
      <w:tr>
        <w:trPr>
          <w:trHeight w:val="70" w:hRule="atLeast"/>
        </w:trPr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№</w:t>
            </w:r>
          </w:p>
          <w:p>
            <w:pPr>
              <w:pStyle w:val="Normal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п/п</w:t>
            </w:r>
          </w:p>
        </w:tc>
        <w:tc>
          <w:tcPr>
            <w:tcW w:w="68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Cs/>
                <w:sz w:val="22"/>
                <w:szCs w:val="22"/>
              </w:rPr>
            </w:pPr>
            <w:r>
              <w:rPr>
                <w:sz w:val="22"/>
                <w:szCs w:val="22"/>
              </w:rPr>
              <w:t>Сведения об Участнике закупки</w:t>
            </w:r>
          </w:p>
        </w:tc>
        <w:tc>
          <w:tcPr>
            <w:tcW w:w="2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start="-57" w:end="-57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Дата и время регистрации заявки на ЭТП</w:t>
            </w:r>
          </w:p>
        </w:tc>
      </w:tr>
      <w:tr>
        <w:trPr>
          <w:trHeight w:val="271" w:hRule="atLeast"/>
        </w:trPr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numPr>
                <w:ilvl w:val="0"/>
                <w:numId w:val="5"/>
              </w:numPr>
              <w:autoSpaceDE w:val="false"/>
              <w:snapToGrid w:val="false"/>
              <w:ind w:hanging="360" w:start="720" w:end="0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</w:r>
          </w:p>
        </w:tc>
        <w:tc>
          <w:tcPr>
            <w:tcW w:w="68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both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АО "МЕРИНГ ИНЖИНИРИНГ", ИНН 6950049622, КПП 695001001, 170100, г. Тверь, ул. Московская, д.82, помещение 621, этаж 6, телефон 74822481368</w:t>
            </w:r>
          </w:p>
        </w:tc>
        <w:tc>
          <w:tcPr>
            <w:tcW w:w="2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start="-57" w:end="-57"/>
              <w:jc w:val="center"/>
              <w:rPr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shd w:fill="F5F5F6" w:val="clear"/>
              </w:rPr>
              <w:t>18.02.2025 09:20:58 MCK+1</w:t>
            </w:r>
          </w:p>
        </w:tc>
      </w:tr>
    </w:tbl>
    <w:p>
      <w:pPr>
        <w:pStyle w:val="Normal"/>
        <w:widowControl w:val="false"/>
        <w:numPr>
          <w:ilvl w:val="0"/>
          <w:numId w:val="0"/>
        </w:numPr>
        <w:ind w:firstLine="426" w:end="0"/>
        <w:jc w:val="both"/>
        <w:outlineLvl w:val="1"/>
        <w:rPr>
          <w:sz w:val="24"/>
          <w:szCs w:val="24"/>
        </w:rPr>
      </w:pPr>
      <w:r>
        <w:rPr>
          <w:sz w:val="24"/>
          <w:szCs w:val="24"/>
        </w:rPr>
        <w:t>Количество поступивших заявок: 1 шт.</w:t>
      </w:r>
    </w:p>
    <w:p>
      <w:pPr>
        <w:pStyle w:val="Normal"/>
        <w:widowControl w:val="false"/>
        <w:ind w:firstLine="426" w:end="0"/>
        <w:rPr>
          <w:b/>
          <w:caps/>
          <w:sz w:val="24"/>
          <w:szCs w:val="24"/>
        </w:rPr>
      </w:pPr>
      <w:r>
        <w:rPr>
          <w:b/>
          <w:caps/>
          <w:sz w:val="24"/>
          <w:szCs w:val="24"/>
        </w:rPr>
      </w:r>
    </w:p>
    <w:p>
      <w:pPr>
        <w:pStyle w:val="Normal"/>
        <w:widowControl w:val="false"/>
        <w:rPr>
          <w:b/>
          <w:caps/>
          <w:sz w:val="24"/>
          <w:szCs w:val="24"/>
        </w:rPr>
      </w:pPr>
      <w:r>
        <w:rPr>
          <w:b/>
          <w:caps/>
          <w:sz w:val="24"/>
          <w:szCs w:val="24"/>
        </w:rPr>
        <w:t>РЕШЕНИЕ ЗАКУПОЧНОЙ КОМИССИИ:</w:t>
      </w:r>
    </w:p>
    <w:p>
      <w:pPr>
        <w:pStyle w:val="Normal"/>
        <w:widowControl w:val="false"/>
        <w:numPr>
          <w:ilvl w:val="0"/>
          <w:numId w:val="3"/>
        </w:numPr>
        <w:tabs>
          <w:tab w:val="clear" w:pos="720"/>
          <w:tab w:val="left" w:pos="6663" w:leader="none"/>
        </w:tabs>
        <w:suppressAutoHyphens w:val="true"/>
        <w:ind w:firstLine="426" w:start="0" w:end="0"/>
        <w:jc w:val="both"/>
        <w:outlineLvl w:val="2"/>
        <w:rPr>
          <w:b/>
          <w:sz w:val="24"/>
          <w:szCs w:val="24"/>
        </w:rPr>
      </w:pPr>
      <w:r>
        <w:rPr>
          <w:b/>
          <w:sz w:val="24"/>
          <w:szCs w:val="24"/>
        </w:rPr>
        <w:t>Признать соответствующей условиям запроса цен общую часть заявки:</w:t>
      </w:r>
    </w:p>
    <w:p>
      <w:pPr>
        <w:pStyle w:val="Default"/>
        <w:jc w:val="both"/>
        <w:rPr>
          <w:rFonts w:eastAsia="Times New Roman"/>
        </w:rPr>
      </w:pPr>
      <w:r>
        <w:rPr/>
        <w:t xml:space="preserve">- </w:t>
      </w:r>
      <w:r>
        <w:rPr>
          <w:bCs/>
        </w:rPr>
        <w:t>АО "МЕРИНГ ИНЖИНИРИНГ", ИНН 6950049622, КПП 695001001, 170100, г. Тверь, ул. Московская, д.82, помещение 621, этаж 6, телефон 74822481368</w:t>
      </w:r>
    </w:p>
    <w:p>
      <w:pPr>
        <w:pStyle w:val="Normal"/>
        <w:widowControl w:val="false"/>
        <w:tabs>
          <w:tab w:val="clear" w:pos="720"/>
          <w:tab w:val="left" w:pos="426" w:leader="none"/>
        </w:tabs>
        <w:autoSpaceDE w:val="false"/>
        <w:snapToGrid w:val="false"/>
        <w:jc w:val="both"/>
        <w:rPr/>
      </w:pPr>
      <w:r>
        <w:rPr>
          <w:iCs/>
          <w:sz w:val="24"/>
          <w:szCs w:val="24"/>
        </w:rPr>
        <w:tab/>
      </w:r>
      <w:r>
        <w:rPr>
          <w:b/>
          <w:iCs/>
          <w:sz w:val="24"/>
          <w:szCs w:val="24"/>
        </w:rPr>
        <w:t>2.</w:t>
      </w:r>
      <w:r>
        <w:rPr>
          <w:iCs/>
          <w:sz w:val="24"/>
          <w:szCs w:val="24"/>
        </w:rPr>
        <w:t xml:space="preserve"> Признать запрос цен несостоявшимся в соответствии с подпунктом (а) пункта 7.5.1 Единого стандарта закупок Публичного акционерного общества «Федеральная сетевая компания - Россети» (Положение о закупке), поскольку на момент окончания подачи заявок подана только одна заявка.</w:t>
      </w:r>
    </w:p>
    <w:p>
      <w:pPr>
        <w:pStyle w:val="Normal"/>
        <w:widowControl w:val="false"/>
        <w:tabs>
          <w:tab w:val="clear" w:pos="720"/>
          <w:tab w:val="left" w:pos="426" w:leader="none"/>
        </w:tabs>
        <w:autoSpaceDE w:val="false"/>
        <w:snapToGrid w:val="false"/>
        <w:jc w:val="both"/>
        <w:rPr>
          <w:bCs/>
          <w:iCs/>
          <w:sz w:val="24"/>
          <w:szCs w:val="24"/>
        </w:rPr>
      </w:pPr>
      <w:r>
        <w:rPr>
          <w:bCs/>
          <w:iCs/>
          <w:sz w:val="24"/>
          <w:szCs w:val="24"/>
        </w:rPr>
      </w:r>
    </w:p>
    <w:p>
      <w:pPr>
        <w:pStyle w:val="Normal"/>
        <w:widowControl w:val="false"/>
        <w:tabs>
          <w:tab w:val="clear" w:pos="720"/>
          <w:tab w:val="left" w:pos="426" w:leader="none"/>
        </w:tabs>
        <w:autoSpaceDE w:val="false"/>
        <w:snapToGrid w:val="false"/>
        <w:jc w:val="both"/>
        <w:rPr/>
      </w:pPr>
      <w:r>
        <w:rPr>
          <w:iCs/>
          <w:sz w:val="24"/>
          <w:szCs w:val="24"/>
        </w:rPr>
        <w:tab/>
      </w:r>
      <w:r>
        <w:rPr>
          <w:b/>
          <w:i/>
        </w:rPr>
        <w:t>Я, член Закупочной комиссии, подписавший настоящий протокол, подтверждаю, что не связан в настоящем ни с одним из участников данного запроса цен</w:t>
      </w:r>
      <w:r>
        <w:rPr/>
        <w:t xml:space="preserve"> </w:t>
      </w:r>
      <w:r>
        <w:rPr>
          <w:b/>
          <w:i/>
        </w:rPr>
        <w:t>таким образом, что это помешает беспристрастно оценивать поданные заявки участников.</w:t>
      </w:r>
    </w:p>
    <w:p>
      <w:pPr>
        <w:pStyle w:val="Normal"/>
        <w:overflowPunct w:val="false"/>
        <w:autoSpaceDE w:val="false"/>
        <w:ind w:firstLine="425" w:end="0"/>
        <w:jc w:val="both"/>
        <w:textAlignment w:val="baseline"/>
        <w:rPr/>
      </w:pPr>
      <w:r>
        <w:rPr>
          <w:b/>
          <w:i/>
          <w:lang w:val="en-US"/>
        </w:rPr>
        <w:t xml:space="preserve">В случае возникновения в период проведения запроса </w:t>
      </w:r>
      <w:r>
        <w:rPr>
          <w:b/>
          <w:i/>
        </w:rPr>
        <w:t>цен</w:t>
      </w:r>
      <w:r>
        <w:rPr/>
        <w:t xml:space="preserve"> </w:t>
      </w:r>
      <w:r>
        <w:rPr>
          <w:b/>
          <w:i/>
          <w:lang w:val="en-US"/>
        </w:rPr>
        <w:t>любых обстоятельств, мешающих давать беспристрастные оценки, либо в случае попытки оказания влияния на оценки члена Закупочной комиссии со стороны участников или иных лиц, не участвующих в оценке Заявок, член Закупочной комиссии обязуется незамедлительно доложить об этом лично председателю Закупочной комиссии.</w:t>
      </w:r>
    </w:p>
    <w:p>
      <w:pPr>
        <w:pStyle w:val="Normal"/>
        <w:overflowPunct w:val="false"/>
        <w:autoSpaceDE w:val="false"/>
        <w:ind w:firstLine="425" w:end="0"/>
        <w:jc w:val="both"/>
        <w:textAlignment w:val="baseline"/>
        <w:rPr/>
      </w:pPr>
      <w:r>
        <w:rPr>
          <w:b/>
          <w:i/>
          <w:lang w:val="en-US"/>
        </w:rPr>
        <w:t xml:space="preserve">Вся информация о заявках, разъяснениях, рассмотрении, отбору, оценках и сопоставлении заявок, до подведения результатов запроса </w:t>
      </w:r>
      <w:r>
        <w:rPr>
          <w:b/>
          <w:i/>
        </w:rPr>
        <w:t>цен</w:t>
      </w:r>
      <w:r>
        <w:rPr>
          <w:b/>
          <w:i/>
          <w:lang w:val="en-US"/>
        </w:rPr>
        <w:t>, член Закупочной комиссии обязуется ни при каких обстоятельствах не сообщать участникам и лицам, не имеющим отношения к процедуре рассмотрения заявок.</w:t>
      </w:r>
    </w:p>
    <w:p>
      <w:pPr>
        <w:pStyle w:val="Normal"/>
        <w:overflowPunct w:val="false"/>
        <w:autoSpaceDE w:val="false"/>
        <w:ind w:firstLine="425" w:end="0"/>
        <w:jc w:val="both"/>
        <w:textAlignment w:val="baseline"/>
        <w:rPr/>
      </w:pPr>
      <w:r>
        <w:rPr>
          <w:b/>
          <w:i/>
          <w:lang w:val="en-US"/>
        </w:rPr>
        <w:t xml:space="preserve">В случае необходимости обращения к Участнику запроса </w:t>
      </w:r>
      <w:r>
        <w:rPr>
          <w:b/>
          <w:i/>
        </w:rPr>
        <w:t>цен</w:t>
      </w:r>
      <w:r>
        <w:rPr/>
        <w:t xml:space="preserve"> </w:t>
      </w:r>
      <w:r>
        <w:rPr>
          <w:b/>
          <w:i/>
          <w:lang w:val="en-US"/>
        </w:rPr>
        <w:t xml:space="preserve">до подведения результатов, член Закупочной комиссии обязуется это сделать через Организатора данного запроса </w:t>
      </w:r>
      <w:r>
        <w:rPr>
          <w:b/>
          <w:i/>
        </w:rPr>
        <w:t>цен</w:t>
      </w:r>
      <w:r>
        <w:rPr>
          <w:b/>
          <w:i/>
          <w:lang w:val="en-US"/>
        </w:rPr>
        <w:t>.</w:t>
      </w:r>
    </w:p>
    <w:p>
      <w:pPr>
        <w:pStyle w:val="Normal"/>
        <w:widowControl w:val="false"/>
        <w:ind w:firstLine="425" w:end="0"/>
        <w:jc w:val="both"/>
        <w:rPr/>
      </w:pPr>
      <w:r>
        <w:rPr>
          <w:b/>
          <w:i/>
          <w:lang w:val="en-US"/>
        </w:rPr>
        <w:t xml:space="preserve">Член Закупочной комиссии несет персональную ответственность за разглашение этих сведений до подведения результатов запроса </w:t>
      </w:r>
      <w:r>
        <w:rPr>
          <w:b/>
          <w:i/>
        </w:rPr>
        <w:t>цен.</w:t>
      </w:r>
    </w:p>
    <w:p>
      <w:pPr>
        <w:pStyle w:val="Normal"/>
        <w:widowControl w:val="false"/>
        <w:jc w:val="both"/>
        <w:rPr>
          <w:b/>
          <w:i/>
          <w:i/>
          <w:sz w:val="24"/>
          <w:szCs w:val="24"/>
        </w:rPr>
      </w:pPr>
      <w:r>
        <w:rPr>
          <w:b/>
          <w:i/>
          <w:sz w:val="24"/>
          <w:szCs w:val="24"/>
        </w:rPr>
      </w:r>
    </w:p>
    <w:p>
      <w:pPr>
        <w:pStyle w:val="Normal"/>
        <w:widowControl w:val="false"/>
        <w:numPr>
          <w:ilvl w:val="0"/>
          <w:numId w:val="0"/>
        </w:numPr>
        <w:jc w:val="both"/>
        <w:outlineLvl w:val="1"/>
        <w:rPr>
          <w:b/>
          <w:sz w:val="24"/>
          <w:szCs w:val="24"/>
        </w:rPr>
      </w:pPr>
      <w:r>
        <w:rPr>
          <w:b/>
          <w:sz w:val="24"/>
          <w:szCs w:val="24"/>
        </w:rPr>
        <w:t>РЕЗУЛЬТАТЫ ГОЛОСОВАНИЯ:</w:t>
      </w:r>
    </w:p>
    <w:p>
      <w:pPr>
        <w:pStyle w:val="Normal"/>
        <w:widowControl w:val="false"/>
        <w:jc w:val="both"/>
        <w:rPr/>
      </w:pPr>
      <w:r>
        <w:rPr>
          <w:sz w:val="24"/>
          <w:szCs w:val="24"/>
        </w:rPr>
        <w:t>«За» _____ членов закупочной комиссии.</w:t>
      </w:r>
    </w:p>
    <w:p>
      <w:pPr>
        <w:pStyle w:val="Normal"/>
        <w:widowControl w:val="false"/>
        <w:jc w:val="both"/>
        <w:rPr/>
      </w:pPr>
      <w:r>
        <w:rPr>
          <w:sz w:val="24"/>
          <w:szCs w:val="24"/>
        </w:rPr>
        <w:t>«Против» _____ членов закупочной комиссии.</w:t>
      </w:r>
    </w:p>
    <w:p>
      <w:pPr>
        <w:pStyle w:val="Normal"/>
        <w:widowControl w:val="false"/>
        <w:jc w:val="both"/>
        <w:rPr/>
      </w:pPr>
      <w:r>
        <w:rPr>
          <w:sz w:val="24"/>
          <w:szCs w:val="24"/>
        </w:rPr>
        <w:t>«Воздержалось» _____ членов закупочной комиссии.</w:t>
      </w:r>
    </w:p>
    <w:p>
      <w:pPr>
        <w:pStyle w:val="Normal"/>
        <w:widowControl w:val="false"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numPr>
          <w:ilvl w:val="0"/>
          <w:numId w:val="0"/>
        </w:numPr>
        <w:jc w:val="both"/>
        <w:outlineLvl w:val="1"/>
        <w:rPr>
          <w:b/>
          <w:caps/>
          <w:sz w:val="24"/>
          <w:szCs w:val="24"/>
        </w:rPr>
      </w:pPr>
      <w:r>
        <w:rPr>
          <w:b/>
          <w:caps/>
          <w:sz w:val="24"/>
          <w:szCs w:val="24"/>
        </w:rPr>
        <w:t>ПОДПИСИ ЧЛЕНОВ закупочной КОМИССИИ:</w:t>
      </w:r>
    </w:p>
    <w:p>
      <w:pPr>
        <w:pStyle w:val="Normal"/>
        <w:widowControl w:val="false"/>
        <w:numPr>
          <w:ilvl w:val="0"/>
          <w:numId w:val="0"/>
        </w:numPr>
        <w:jc w:val="both"/>
        <w:outlineLvl w:val="1"/>
        <w:rPr>
          <w:b/>
          <w:caps/>
          <w:sz w:val="24"/>
          <w:szCs w:val="24"/>
        </w:rPr>
      </w:pPr>
      <w:r>
        <w:rPr>
          <w:b/>
          <w:caps/>
          <w:sz w:val="24"/>
          <w:szCs w:val="24"/>
        </w:rPr>
      </w:r>
    </w:p>
    <w:tbl>
      <w:tblPr>
        <w:tblW w:w="9979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168"/>
        <w:gridCol w:w="3151"/>
        <w:gridCol w:w="2660"/>
      </w:tblGrid>
      <w:tr>
        <w:trPr>
          <w:trHeight w:val="556" w:hRule="atLeast"/>
          <w:cantSplit w:val="true"/>
        </w:trPr>
        <w:tc>
          <w:tcPr>
            <w:tcW w:w="4168" w:type="dxa"/>
            <w:tcBorders/>
            <w:vAlign w:val="bottom"/>
          </w:tcPr>
          <w:p>
            <w:pPr>
              <w:pStyle w:val="Normal"/>
              <w:widowControl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Председатель </w:t>
            </w:r>
          </w:p>
          <w:p>
            <w:pPr>
              <w:pStyle w:val="Normal"/>
              <w:widowControl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закупочной комиссии:</w:t>
            </w:r>
          </w:p>
        </w:tc>
        <w:tc>
          <w:tcPr>
            <w:tcW w:w="3151" w:type="dxa"/>
            <w:tcBorders/>
            <w:vAlign w:val="bottom"/>
          </w:tcPr>
          <w:p>
            <w:pPr>
              <w:pStyle w:val="Normal"/>
              <w:widowControl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_______________________</w:t>
            </w:r>
          </w:p>
        </w:tc>
        <w:tc>
          <w:tcPr>
            <w:tcW w:w="2660" w:type="dxa"/>
            <w:tcBorders/>
            <w:vAlign w:val="bottom"/>
          </w:tcPr>
          <w:p>
            <w:pPr>
              <w:pStyle w:val="Normal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Малышев А.А.</w:t>
            </w:r>
          </w:p>
        </w:tc>
      </w:tr>
      <w:tr>
        <w:trPr>
          <w:trHeight w:val="556" w:hRule="atLeast"/>
          <w:cantSplit w:val="true"/>
        </w:trPr>
        <w:tc>
          <w:tcPr>
            <w:tcW w:w="4168" w:type="dxa"/>
            <w:tcBorders/>
            <w:vAlign w:val="bottom"/>
          </w:tcPr>
          <w:p>
            <w:pPr>
              <w:pStyle w:val="Normal"/>
              <w:widowControl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Заместитель председателя </w:t>
            </w:r>
          </w:p>
          <w:p>
            <w:pPr>
              <w:pStyle w:val="Normal"/>
              <w:widowControl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закупочной комиссии:</w:t>
            </w:r>
          </w:p>
        </w:tc>
        <w:tc>
          <w:tcPr>
            <w:tcW w:w="3151" w:type="dxa"/>
            <w:tcBorders/>
            <w:vAlign w:val="bottom"/>
          </w:tcPr>
          <w:p>
            <w:pPr>
              <w:pStyle w:val="Normal"/>
              <w:widowControl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_______________________</w:t>
            </w:r>
          </w:p>
        </w:tc>
        <w:tc>
          <w:tcPr>
            <w:tcW w:w="2660" w:type="dxa"/>
            <w:tcBorders/>
            <w:vAlign w:val="bottom"/>
          </w:tcPr>
          <w:p>
            <w:pPr>
              <w:pStyle w:val="Normal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Петрова Н.А.</w:t>
            </w:r>
          </w:p>
        </w:tc>
      </w:tr>
      <w:tr>
        <w:trPr>
          <w:trHeight w:val="556" w:hRule="atLeast"/>
          <w:cantSplit w:val="true"/>
        </w:trPr>
        <w:tc>
          <w:tcPr>
            <w:tcW w:w="4168" w:type="dxa"/>
            <w:tcBorders/>
            <w:vAlign w:val="bottom"/>
          </w:tcPr>
          <w:p>
            <w:pPr>
              <w:pStyle w:val="Normal"/>
              <w:widowControl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Члены закупочной комиссии:</w:t>
            </w:r>
          </w:p>
        </w:tc>
        <w:tc>
          <w:tcPr>
            <w:tcW w:w="3151" w:type="dxa"/>
            <w:tcBorders/>
            <w:vAlign w:val="bottom"/>
          </w:tcPr>
          <w:p>
            <w:pPr>
              <w:pStyle w:val="Normal"/>
              <w:widowControl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_______________________</w:t>
            </w:r>
          </w:p>
        </w:tc>
        <w:tc>
          <w:tcPr>
            <w:tcW w:w="2660" w:type="dxa"/>
            <w:tcBorders/>
            <w:vAlign w:val="bottom"/>
          </w:tcPr>
          <w:p>
            <w:pPr>
              <w:pStyle w:val="Normal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Григорьев К.В.</w:t>
            </w:r>
          </w:p>
        </w:tc>
      </w:tr>
      <w:tr>
        <w:trPr>
          <w:trHeight w:val="556" w:hRule="atLeast"/>
          <w:cantSplit w:val="true"/>
        </w:trPr>
        <w:tc>
          <w:tcPr>
            <w:tcW w:w="4168" w:type="dxa"/>
            <w:tcBorders/>
            <w:vAlign w:val="bottom"/>
          </w:tcPr>
          <w:p>
            <w:pPr>
              <w:pStyle w:val="Normal"/>
              <w:widowControl w:val="false"/>
              <w:snapToGrid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151" w:type="dxa"/>
            <w:tcBorders/>
            <w:vAlign w:val="bottom"/>
          </w:tcPr>
          <w:p>
            <w:pPr>
              <w:pStyle w:val="Normal"/>
              <w:widowControl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_______________________</w:t>
            </w:r>
          </w:p>
        </w:tc>
        <w:tc>
          <w:tcPr>
            <w:tcW w:w="2660" w:type="dxa"/>
            <w:tcBorders/>
            <w:vAlign w:val="bottom"/>
          </w:tcPr>
          <w:p>
            <w:pPr>
              <w:pStyle w:val="Normal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Пушин А.М.</w:t>
            </w:r>
          </w:p>
        </w:tc>
      </w:tr>
      <w:tr>
        <w:trPr>
          <w:trHeight w:val="556" w:hRule="atLeast"/>
          <w:cantSplit w:val="true"/>
        </w:trPr>
        <w:tc>
          <w:tcPr>
            <w:tcW w:w="4168" w:type="dxa"/>
            <w:tcBorders/>
            <w:vAlign w:val="bottom"/>
          </w:tcPr>
          <w:p>
            <w:pPr>
              <w:pStyle w:val="Normal"/>
              <w:widowControl w:val="false"/>
              <w:snapToGrid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151" w:type="dxa"/>
            <w:tcBorders/>
            <w:vAlign w:val="bottom"/>
          </w:tcPr>
          <w:p>
            <w:pPr>
              <w:pStyle w:val="Normal"/>
              <w:widowControl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_______________________</w:t>
            </w:r>
          </w:p>
        </w:tc>
        <w:tc>
          <w:tcPr>
            <w:tcW w:w="2660" w:type="dxa"/>
            <w:tcBorders/>
            <w:vAlign w:val="bottom"/>
          </w:tcPr>
          <w:p>
            <w:pPr>
              <w:pStyle w:val="Normal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Мозоль Д.В.</w:t>
            </w:r>
          </w:p>
        </w:tc>
      </w:tr>
      <w:tr>
        <w:trPr>
          <w:trHeight w:val="556" w:hRule="atLeast"/>
          <w:cantSplit w:val="true"/>
        </w:trPr>
        <w:tc>
          <w:tcPr>
            <w:tcW w:w="4168" w:type="dxa"/>
            <w:tcBorders/>
            <w:vAlign w:val="bottom"/>
          </w:tcPr>
          <w:p>
            <w:pPr>
              <w:pStyle w:val="Normal"/>
              <w:widowControl w:val="false"/>
              <w:snapToGrid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Normal"/>
              <w:widowControl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151" w:type="dxa"/>
            <w:tcBorders/>
            <w:vAlign w:val="bottom"/>
          </w:tcPr>
          <w:p>
            <w:pPr>
              <w:pStyle w:val="Normal"/>
              <w:widowControl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_______________________</w:t>
            </w:r>
          </w:p>
        </w:tc>
        <w:tc>
          <w:tcPr>
            <w:tcW w:w="2660" w:type="dxa"/>
            <w:tcBorders/>
            <w:vAlign w:val="bottom"/>
          </w:tcPr>
          <w:p>
            <w:pPr>
              <w:pStyle w:val="Normal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Лушников И.П.</w:t>
            </w:r>
          </w:p>
        </w:tc>
      </w:tr>
      <w:tr>
        <w:trPr>
          <w:trHeight w:val="556" w:hRule="atLeast"/>
          <w:cantSplit w:val="true"/>
        </w:trPr>
        <w:tc>
          <w:tcPr>
            <w:tcW w:w="4168" w:type="dxa"/>
            <w:tcBorders/>
            <w:vAlign w:val="bottom"/>
          </w:tcPr>
          <w:p>
            <w:pPr>
              <w:pStyle w:val="Normal"/>
              <w:widowControl w:val="false"/>
              <w:snapToGrid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151" w:type="dxa"/>
            <w:tcBorders/>
            <w:vAlign w:val="bottom"/>
          </w:tcPr>
          <w:p>
            <w:pPr>
              <w:pStyle w:val="Normal"/>
              <w:widowControl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_______________________</w:t>
            </w:r>
          </w:p>
        </w:tc>
        <w:tc>
          <w:tcPr>
            <w:tcW w:w="2660" w:type="dxa"/>
            <w:tcBorders/>
            <w:vAlign w:val="bottom"/>
          </w:tcPr>
          <w:p>
            <w:pPr>
              <w:pStyle w:val="Normal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Гараев Л.А.</w:t>
            </w:r>
          </w:p>
        </w:tc>
      </w:tr>
      <w:tr>
        <w:trPr>
          <w:trHeight w:val="556" w:hRule="atLeast"/>
          <w:cantSplit w:val="true"/>
        </w:trPr>
        <w:tc>
          <w:tcPr>
            <w:tcW w:w="4168" w:type="dxa"/>
            <w:tcBorders/>
            <w:vAlign w:val="bottom"/>
          </w:tcPr>
          <w:p>
            <w:pPr>
              <w:pStyle w:val="Normal"/>
              <w:widowControl w:val="false"/>
              <w:snapToGrid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151" w:type="dxa"/>
            <w:tcBorders/>
            <w:vAlign w:val="bottom"/>
          </w:tcPr>
          <w:p>
            <w:pPr>
              <w:pStyle w:val="Normal"/>
              <w:widowControl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_______________________</w:t>
            </w:r>
          </w:p>
        </w:tc>
        <w:tc>
          <w:tcPr>
            <w:tcW w:w="2660" w:type="dxa"/>
            <w:tcBorders/>
            <w:vAlign w:val="bottom"/>
          </w:tcPr>
          <w:p>
            <w:pPr>
              <w:pStyle w:val="Normal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Ярынченко И.О.</w:t>
            </w:r>
          </w:p>
        </w:tc>
      </w:tr>
      <w:tr>
        <w:trPr>
          <w:trHeight w:val="556" w:hRule="atLeast"/>
          <w:cantSplit w:val="true"/>
        </w:trPr>
        <w:tc>
          <w:tcPr>
            <w:tcW w:w="4168" w:type="dxa"/>
            <w:tcBorders/>
            <w:vAlign w:val="bottom"/>
          </w:tcPr>
          <w:p>
            <w:pPr>
              <w:pStyle w:val="Normal"/>
              <w:widowControl w:val="false"/>
              <w:snapToGrid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151" w:type="dxa"/>
            <w:tcBorders/>
            <w:vAlign w:val="bottom"/>
          </w:tcPr>
          <w:p>
            <w:pPr>
              <w:pStyle w:val="Normal"/>
              <w:widowControl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_______________________</w:t>
            </w:r>
          </w:p>
        </w:tc>
        <w:tc>
          <w:tcPr>
            <w:tcW w:w="2660" w:type="dxa"/>
            <w:tcBorders/>
            <w:vAlign w:val="bottom"/>
          </w:tcPr>
          <w:p>
            <w:pPr>
              <w:pStyle w:val="Normal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Саблина Н.Н.</w:t>
            </w:r>
          </w:p>
        </w:tc>
      </w:tr>
      <w:tr>
        <w:trPr>
          <w:trHeight w:val="556" w:hRule="atLeast"/>
          <w:cantSplit w:val="true"/>
        </w:trPr>
        <w:tc>
          <w:tcPr>
            <w:tcW w:w="4168" w:type="dxa"/>
            <w:tcBorders/>
            <w:vAlign w:val="bottom"/>
          </w:tcPr>
          <w:p>
            <w:pPr>
              <w:pStyle w:val="Normal"/>
              <w:widowControl w:val="false"/>
              <w:snapToGrid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151" w:type="dxa"/>
            <w:tcBorders/>
            <w:vAlign w:val="bottom"/>
          </w:tcPr>
          <w:p>
            <w:pPr>
              <w:pStyle w:val="Normal"/>
              <w:widowControl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По опросному листу </w:t>
            </w:r>
          </w:p>
        </w:tc>
        <w:tc>
          <w:tcPr>
            <w:tcW w:w="2660" w:type="dxa"/>
            <w:tcBorders/>
            <w:vAlign w:val="bottom"/>
          </w:tcPr>
          <w:p>
            <w:pPr>
              <w:pStyle w:val="Normal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Солянин Р.В.</w:t>
            </w:r>
          </w:p>
        </w:tc>
      </w:tr>
      <w:tr>
        <w:trPr>
          <w:trHeight w:val="556" w:hRule="atLeast"/>
          <w:cantSplit w:val="true"/>
        </w:trPr>
        <w:tc>
          <w:tcPr>
            <w:tcW w:w="4168" w:type="dxa"/>
            <w:tcBorders/>
            <w:vAlign w:val="bottom"/>
          </w:tcPr>
          <w:p>
            <w:pPr>
              <w:pStyle w:val="Normal"/>
              <w:widowControl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Ответственный секретарь </w:t>
            </w:r>
          </w:p>
          <w:p>
            <w:pPr>
              <w:pStyle w:val="Normal"/>
              <w:widowControl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закупочной комиссии:</w:t>
            </w:r>
          </w:p>
        </w:tc>
        <w:tc>
          <w:tcPr>
            <w:tcW w:w="3151" w:type="dxa"/>
            <w:tcBorders/>
            <w:vAlign w:val="bottom"/>
          </w:tcPr>
          <w:p>
            <w:pPr>
              <w:pStyle w:val="Normal"/>
              <w:widowControl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_______________________</w:t>
            </w:r>
          </w:p>
        </w:tc>
        <w:tc>
          <w:tcPr>
            <w:tcW w:w="2660" w:type="dxa"/>
            <w:tcBorders/>
            <w:vAlign w:val="bottom"/>
          </w:tcPr>
          <w:p>
            <w:pPr>
              <w:pStyle w:val="Normal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Уткин Д.С.</w:t>
            </w:r>
          </w:p>
        </w:tc>
      </w:tr>
    </w:tbl>
    <w:p>
      <w:pPr>
        <w:pStyle w:val="Normal"/>
        <w:widowControl w:val="false"/>
        <w:numPr>
          <w:ilvl w:val="0"/>
          <w:numId w:val="0"/>
        </w:numPr>
        <w:jc w:val="both"/>
        <w:outlineLvl w:val="1"/>
        <w:rPr>
          <w:b/>
          <w:caps/>
          <w:sz w:val="24"/>
          <w:szCs w:val="24"/>
        </w:rPr>
      </w:pPr>
      <w:r>
        <w:rPr>
          <w:b/>
          <w:caps/>
          <w:sz w:val="24"/>
          <w:szCs w:val="24"/>
        </w:rPr>
      </w:r>
    </w:p>
    <w:p>
      <w:pPr>
        <w:pStyle w:val="Normal"/>
        <w:widowControl w:val="false"/>
        <w:numPr>
          <w:ilvl w:val="0"/>
          <w:numId w:val="0"/>
        </w:numPr>
        <w:jc w:val="both"/>
        <w:outlineLvl w:val="1"/>
        <w:rPr>
          <w:b/>
          <w:caps/>
          <w:sz w:val="24"/>
          <w:szCs w:val="24"/>
        </w:rPr>
      </w:pPr>
      <w:r>
        <w:rPr>
          <w:b/>
          <w:caps/>
          <w:sz w:val="24"/>
          <w:szCs w:val="24"/>
        </w:rPr>
      </w:r>
    </w:p>
    <w:p>
      <w:pPr>
        <w:pStyle w:val="Normal"/>
        <w:widowControl w:val="false"/>
        <w:numPr>
          <w:ilvl w:val="0"/>
          <w:numId w:val="0"/>
        </w:numPr>
        <w:jc w:val="both"/>
        <w:outlineLvl w:val="1"/>
        <w:rPr>
          <w:b/>
          <w:caps/>
          <w:sz w:val="24"/>
          <w:szCs w:val="24"/>
        </w:rPr>
      </w:pPr>
      <w:r>
        <w:rPr>
          <w:b/>
          <w:caps/>
          <w:sz w:val="24"/>
          <w:szCs w:val="24"/>
        </w:rPr>
      </w:r>
    </w:p>
    <w:sectPr>
      <w:headerReference w:type="default" r:id="rId5"/>
      <w:footerReference w:type="default" r:id="rId6"/>
      <w:type w:val="nextPage"/>
      <w:pgSz w:w="11906" w:h="16838"/>
      <w:pgMar w:left="1134" w:right="849" w:gutter="0" w:header="720" w:top="1134" w:footer="596" w:bottom="709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cc" w:characterSet="windows-1251"/>
    <w:family w:val="roman"/>
    <w:pitch w:val="variable"/>
  </w:font>
  <w:font w:name="Courier New">
    <w:charset w:val="cc" w:characterSet="windows-1251"/>
    <w:family w:val="modern"/>
    <w:pitch w:val="default"/>
  </w:font>
  <w:font w:name="Wingdings">
    <w:charset w:val="02"/>
    <w:family w:val="auto"/>
    <w:pitch w:val="variable"/>
  </w:font>
  <w:font w:name="Tahoma">
    <w:charset w:val="cc" w:characterSet="windows-1251"/>
    <w:family w:val="swiss"/>
    <w:pitch w:val="variable"/>
  </w:font>
  <w:font w:name="Arial">
    <w:charset w:val="cc" w:characterSet="windows-1251"/>
    <w:family w:val="swiss"/>
    <w:pitch w:val="variable"/>
  </w:font>
  <w:font w:name="Verdana">
    <w:charset w:val="cc" w:characterSet="windows-1251"/>
    <w:family w:val="swiss"/>
    <w:pitch w:val="variable"/>
  </w:font>
  <w:font w:name="MinionPro-Regular">
    <w:altName w:val="Times New Roman"/>
    <w:charset w:val="cc" w:characterSet="windows-1251"/>
    <w:family w:val="auto"/>
    <w:pitch w:val="default"/>
  </w:font>
  <w:font w:name="Calibri">
    <w:charset w:val="cc" w:characterSet="windows-1251"/>
    <w:family w:val="swiss"/>
    <w:pitch w:val="variable"/>
  </w:font>
  <w:font w:name="PF Din Text Cond Pro Light">
    <w:charset w:val="cc" w:characterSet="windows-1251"/>
    <w:family w:val="auto"/>
    <w:pitch w:val="variable"/>
  </w:font>
  <w:font w:name="PF Din Text Cond Pro">
    <w:charset w:val="00" w:characterSet="windows-1252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end="360"/>
      <w:jc w:val="end"/>
      <w:rPr/>
    </w:pPr>
    <w:r>
      <w:rPr>
        <w:rStyle w:val="PageNumber"/>
      </w:rPr>
      <w:t xml:space="preserve">стр.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</w:rPr>
      <w:t>3</w:t>
    </w:r>
    <w:r>
      <w:rPr>
        <w:rStyle w:val="PageNumber"/>
      </w:rPr>
      <w:fldChar w:fldCharType="end"/>
    </w:r>
    <w:r>
      <w:rPr>
        <w:rStyle w:val="PageNumber"/>
      </w:rPr>
      <w:t xml:space="preserve"> из </w:t>
    </w:r>
    <w:r>
      <w:rPr>
        <w:rStyle w:val="PageNumber"/>
      </w:rPr>
      <w:fldChar w:fldCharType="begin"/>
    </w:r>
    <w:r>
      <w:rPr>
        <w:rStyle w:val="PageNumber"/>
      </w:rPr>
      <w:instrText xml:space="preserve"> NUMPAGES \* ARABIC </w:instrText>
    </w:r>
    <w:r>
      <w:rPr>
        <w:rStyle w:val="PageNumber"/>
      </w:rPr>
      <w:fldChar w:fldCharType="separate"/>
    </w:r>
    <w:r>
      <w:rPr>
        <w:rStyle w:val="PageNumber"/>
      </w:rPr>
      <w:t>3</w:t>
    </w:r>
    <w:r>
      <w:rPr>
        <w:rStyle w:val="PageNumber"/>
      </w:rPr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end"/>
      <w:rPr>
        <w:i/>
        <w:i/>
      </w:rPr>
    </w:pPr>
    <w:r>
      <w:rPr>
        <w:i/>
      </w:rPr>
      <w:t xml:space="preserve">Протокол очного заседания Закупочной комиссии </w:t>
    </w:r>
  </w:p>
  <w:p>
    <w:pPr>
      <w:pStyle w:val="Header"/>
      <w:jc w:val="end"/>
      <w:rPr>
        <w:i/>
        <w:i/>
        <w:color w:val="999999"/>
      </w:rPr>
    </w:pPr>
    <w:r>
      <w:rPr>
        <w:i/>
      </w:rPr>
      <w:t>по рассмотрению общих частей заявок участников</w:t>
    </w:r>
  </w:p>
  <w:p>
    <w:pPr>
      <w:pStyle w:val="Header"/>
      <w:jc w:val="end"/>
      <w:rPr/>
    </w:pPr>
    <w:r>
      <w:rPr>
        <w:i/>
      </w:rPr>
      <w:t>№</w:t>
    </w:r>
    <w:r>
      <w:rPr>
        <w:i/>
      </w:rPr>
      <w:t>0031-УД-2</w:t>
    </w:r>
    <w:r>
      <w:rPr>
        <w:i/>
        <w:lang w:val="en-US"/>
      </w:rPr>
      <w:t>5</w:t>
    </w:r>
    <w:r>
      <w:rPr>
        <w:i/>
      </w:rPr>
      <w:t>-1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pStyle w:val="Heading4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pStyle w:val="Heading5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851"/>
        </w:tabs>
        <w:ind w:start="283" w:firstLine="567"/>
      </w:pPr>
      <w:rPr>
        <w:i w:val="false"/>
        <w:b/>
      </w:rPr>
    </w:lvl>
    <w:lvl w:ilvl="1">
      <w:start w:val="1"/>
      <w:numFmt w:val="decimal"/>
      <w:lvlText w:val="%1.%2."/>
      <w:lvlJc w:val="start"/>
      <w:pPr>
        <w:tabs>
          <w:tab w:val="num" w:pos="708"/>
        </w:tabs>
        <w:ind w:start="2126" w:hanging="708"/>
      </w:pPr>
      <w:rPr>
        <w:b/>
      </w:rPr>
    </w:lvl>
    <w:lvl w:ilvl="2">
      <w:start w:val="1"/>
      <w:numFmt w:val="decimal"/>
      <w:lvlText w:val="%1.%2.%3."/>
      <w:lvlJc w:val="start"/>
      <w:pPr>
        <w:tabs>
          <w:tab w:val="num" w:pos="2835"/>
        </w:tabs>
        <w:ind w:start="2835" w:hanging="708"/>
      </w:pPr>
      <w:rPr/>
    </w:lvl>
    <w:lvl w:ilvl="3">
      <w:start w:val="1"/>
      <w:numFmt w:val="decimal"/>
      <w:lvlText w:val="%1.%2.%3.%4."/>
      <w:lvlJc w:val="start"/>
      <w:pPr>
        <w:tabs>
          <w:tab w:val="num" w:pos="708"/>
        </w:tabs>
        <w:ind w:start="3540" w:hanging="708"/>
      </w:pPr>
      <w:rPr/>
    </w:lvl>
    <w:lvl w:ilvl="4">
      <w:start w:val="1"/>
      <w:numFmt w:val="decimal"/>
      <w:lvlText w:val="%1.%2.%3.%4.%5."/>
      <w:lvlJc w:val="start"/>
      <w:pPr>
        <w:tabs>
          <w:tab w:val="num" w:pos="708"/>
        </w:tabs>
        <w:ind w:start="4248" w:hanging="708"/>
      </w:pPr>
      <w:rPr/>
    </w:lvl>
    <w:lvl w:ilvl="5">
      <w:start w:val="0"/>
      <w:numFmt w:val="none"/>
      <w:suff w:val="nothing"/>
      <w:lvlText w:val=""/>
      <w:lvlJc w:val="start"/>
      <w:pPr>
        <w:tabs>
          <w:tab w:val="num" w:pos="360"/>
        </w:tabs>
        <w:ind w:start="0" w:hanging="0"/>
      </w:pPr>
    </w:lvl>
    <w:lvl w:ilvl="6">
      <w:start w:val="1"/>
      <w:numFmt w:val="decimal"/>
      <w:lvlText w:val="%1.%2.%3.%4.%5.%6%7."/>
      <w:lvlJc w:val="start"/>
      <w:pPr>
        <w:tabs>
          <w:tab w:val="num" w:pos="708"/>
        </w:tabs>
        <w:ind w:start="5664" w:hanging="708"/>
      </w:pPr>
      <w:rPr/>
    </w:lvl>
    <w:lvl w:ilvl="7">
      <w:start w:val="1"/>
      <w:numFmt w:val="decimal"/>
      <w:lvlText w:val="%1.%2.%3.%4.%5.%6%7.%8."/>
      <w:lvlJc w:val="start"/>
      <w:pPr>
        <w:tabs>
          <w:tab w:val="num" w:pos="708"/>
        </w:tabs>
        <w:ind w:start="6372" w:hanging="708"/>
      </w:pPr>
      <w:rPr/>
    </w:lvl>
    <w:lvl w:ilvl="8">
      <w:start w:val="1"/>
      <w:numFmt w:val="decimal"/>
      <w:lvlText w:val="%1.%2.%3.%4.%5.%6%7.%8.%9."/>
      <w:lvlJc w:val="start"/>
      <w:pPr>
        <w:tabs>
          <w:tab w:val="num" w:pos="708"/>
        </w:tabs>
        <w:ind w:start="7080" w:hanging="708"/>
      </w:pPr>
      <w:rPr/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37"/>
        </w:tabs>
        <w:ind w:start="737" w:hanging="377"/>
      </w:pPr>
      <w:rPr>
        <w:rFonts w:ascii="Symbol" w:hAnsi="Symbol" w:cs="Symbol" w:hint="default"/>
      </w:rPr>
    </w:lvl>
    <w:lvl w:ilvl="1">
      <w:start w:val="1"/>
      <w:numFmt w:val="lowerLetter"/>
      <w:lvlText w:val="%1%2."/>
      <w:lvlJc w:val="start"/>
      <w:pPr>
        <w:tabs>
          <w:tab w:val="num" w:pos="1418"/>
        </w:tabs>
        <w:ind w:start="1418" w:hanging="708"/>
      </w:pPr>
      <w:rPr/>
    </w:lvl>
    <w:lvl w:ilvl="2">
      <w:start w:val="1"/>
      <w:numFmt w:val="decimal"/>
      <w:lvlText w:val="%1.%2.%3."/>
      <w:lvlJc w:val="start"/>
      <w:pPr>
        <w:tabs>
          <w:tab w:val="num" w:pos="2127"/>
        </w:tabs>
        <w:ind w:start="2127" w:hanging="708"/>
      </w:pPr>
      <w:rPr/>
    </w:lvl>
    <w:lvl w:ilvl="3">
      <w:start w:val="1"/>
      <w:numFmt w:val="decimal"/>
      <w:lvlText w:val="%1.%2.%3.%4."/>
      <w:lvlJc w:val="start"/>
      <w:pPr>
        <w:tabs>
          <w:tab w:val="num" w:pos="0"/>
        </w:tabs>
        <w:ind w:start="2832" w:hanging="708"/>
      </w:pPr>
      <w:rPr/>
    </w:lvl>
    <w:lvl w:ilvl="4">
      <w:start w:val="1"/>
      <w:numFmt w:val="decimal"/>
      <w:lvlText w:val="%1.%2.%3.%4.%5."/>
      <w:lvlJc w:val="start"/>
      <w:pPr>
        <w:tabs>
          <w:tab w:val="num" w:pos="0"/>
        </w:tabs>
        <w:ind w:start="3540" w:hanging="708"/>
      </w:pPr>
      <w:rPr/>
    </w:lvl>
    <w:lvl w:ilvl="5">
      <w:start w:val="1"/>
      <w:numFmt w:val="decimal"/>
      <w:lvlText w:val="%1.%2.%3.%4.%5.%6."/>
      <w:lvlJc w:val="start"/>
      <w:pPr>
        <w:tabs>
          <w:tab w:val="num" w:pos="0"/>
        </w:tabs>
        <w:ind w:start="4248" w:hanging="708"/>
      </w:pPr>
      <w:rPr/>
    </w:lvl>
    <w:lvl w:ilvl="6">
      <w:start w:val="1"/>
      <w:numFmt w:val="decimal"/>
      <w:lvlText w:val="%1.%2.%3.%4.%5.%6.%7."/>
      <w:lvlJc w:val="start"/>
      <w:pPr>
        <w:tabs>
          <w:tab w:val="num" w:pos="0"/>
        </w:tabs>
        <w:ind w:start="4956" w:hanging="708"/>
      </w:pPr>
      <w:rPr/>
    </w:lvl>
    <w:lvl w:ilvl="7">
      <w:start w:val="1"/>
      <w:numFmt w:val="decimal"/>
      <w:lvlText w:val="%1.%2.%3.%4.%5.%6.%7.%8."/>
      <w:lvlJc w:val="start"/>
      <w:pPr>
        <w:tabs>
          <w:tab w:val="num" w:pos="0"/>
        </w:tabs>
        <w:ind w:start="5664" w:hanging="708"/>
      </w:pPr>
      <w:rPr/>
    </w:lvl>
    <w:lvl w:ilvl="8">
      <w:start w:val="1"/>
      <w:numFmt w:val="decimal"/>
      <w:lvlText w:val="%1.%2.%3.%4.%5.%6.%7.%8.%9."/>
      <w:lvlJc w:val="start"/>
      <w:pPr>
        <w:tabs>
          <w:tab w:val="num" w:pos="0"/>
        </w:tabs>
        <w:ind w:start="6372" w:hanging="708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0"/>
        </w:tabs>
        <w:ind w:start="928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0"/>
      <w:szCs w:val="20"/>
      <w:lang w:val="ru-RU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jc w:val="both"/>
      <w:outlineLvl w:val="0"/>
    </w:pPr>
    <w:rPr>
      <w:sz w:val="24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outlineLvl w:val="1"/>
    </w:pPr>
    <w:rPr>
      <w:sz w:val="24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outlineLvl w:val="2"/>
    </w:pPr>
    <w:rPr>
      <w:sz w:val="24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jc w:val="center"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outlineLvl w:val="4"/>
    </w:pPr>
    <w:rPr>
      <w:sz w:val="24"/>
    </w:rPr>
  </w:style>
  <w:style w:type="character" w:styleId="WW8Num1z0">
    <w:name w:val="WW8Num1z0"/>
    <w:qFormat/>
    <w:rPr/>
  </w:style>
  <w:style w:type="character" w:styleId="WW8Num2z0">
    <w:name w:val="WW8Num2z0"/>
    <w:qFormat/>
    <w:rPr>
      <w:i w:val="false"/>
    </w:rPr>
  </w:style>
  <w:style w:type="character" w:styleId="WW8Num2z1">
    <w:name w:val="WW8Num2z1"/>
    <w:qFormat/>
    <w:rPr/>
  </w:style>
  <w:style w:type="character" w:styleId="WW8Num3z0">
    <w:name w:val="WW8Num3z0"/>
    <w:qFormat/>
    <w:rPr>
      <w:b/>
      <w:i w:val="false"/>
    </w:rPr>
  </w:style>
  <w:style w:type="character" w:styleId="WW8Num3z1">
    <w:name w:val="WW8Num3z1"/>
    <w:qFormat/>
    <w:rPr>
      <w:b/>
    </w:rPr>
  </w:style>
  <w:style w:type="character" w:styleId="WW8Num3z2">
    <w:name w:val="WW8Num3z2"/>
    <w:qFormat/>
    <w:rPr/>
  </w:style>
  <w:style w:type="character" w:styleId="WW8Num4z0">
    <w:name w:val="WW8Num4z0"/>
    <w:qFormat/>
    <w:rPr>
      <w:rFonts w:ascii="Symbol" w:hAnsi="Symbol" w:cs="Symbol"/>
      <w:b w:val="false"/>
    </w:rPr>
  </w:style>
  <w:style w:type="character" w:styleId="WW8Num4z1">
    <w:name w:val="WW8Num4z1"/>
    <w:qFormat/>
    <w:rPr>
      <w:rFonts w:ascii="Courier New" w:hAnsi="Courier New" w:cs="Courier New"/>
    </w:rPr>
  </w:style>
  <w:style w:type="character" w:styleId="WW8Num4z2">
    <w:name w:val="WW8Num4z2"/>
    <w:qFormat/>
    <w:rPr>
      <w:rFonts w:ascii="Wingdings" w:hAnsi="Wingdings" w:cs="Wingdings"/>
    </w:rPr>
  </w:style>
  <w:style w:type="character" w:styleId="WW8Num4z3">
    <w:name w:val="WW8Num4z3"/>
    <w:qFormat/>
    <w:rPr>
      <w:rFonts w:ascii="Symbol" w:hAnsi="Symbol" w:cs="Symbol"/>
    </w:rPr>
  </w:style>
  <w:style w:type="character" w:styleId="WW8Num5z0">
    <w:name w:val="WW8Num5z0"/>
    <w:qFormat/>
    <w:rPr>
      <w:b/>
      <w:i w:val="false"/>
    </w:rPr>
  </w:style>
  <w:style w:type="character" w:styleId="WW8Num5z1">
    <w:name w:val="WW8Num5z1"/>
    <w:qFormat/>
    <w:rPr>
      <w:b/>
    </w:rPr>
  </w:style>
  <w:style w:type="character" w:styleId="WW8Num5z2">
    <w:name w:val="WW8Num5z2"/>
    <w:qFormat/>
    <w:rPr/>
  </w:style>
  <w:style w:type="character" w:styleId="WW8Num6z0">
    <w:name w:val="WW8Num6z0"/>
    <w:qFormat/>
    <w:rPr>
      <w:rFonts w:ascii="Symbol" w:hAnsi="Symbol" w:cs="Symbol"/>
    </w:rPr>
  </w:style>
  <w:style w:type="character" w:styleId="WW8Num6z1">
    <w:name w:val="WW8Num6z1"/>
    <w:qFormat/>
    <w:rPr>
      <w:rFonts w:ascii="Courier New" w:hAnsi="Courier New" w:cs="Courier New"/>
    </w:rPr>
  </w:style>
  <w:style w:type="character" w:styleId="WW8Num6z2">
    <w:name w:val="WW8Num6z2"/>
    <w:qFormat/>
    <w:rPr>
      <w:rFonts w:ascii="Wingdings" w:hAnsi="Wingdings" w:cs="Wingdings"/>
    </w:rPr>
  </w:style>
  <w:style w:type="character" w:styleId="WW8Num7z0">
    <w:name w:val="WW8Num7z0"/>
    <w:qFormat/>
    <w:rPr>
      <w:rFonts w:ascii="Symbol" w:hAnsi="Symbol" w:cs="Symbol"/>
    </w:rPr>
  </w:style>
  <w:style w:type="character" w:styleId="WW8Num7z1">
    <w:name w:val="WW8Num7z1"/>
    <w:qFormat/>
    <w:rPr>
      <w:rFonts w:ascii="Courier New" w:hAnsi="Courier New" w:cs="Courier New"/>
    </w:rPr>
  </w:style>
  <w:style w:type="character" w:styleId="WW8Num7z2">
    <w:name w:val="WW8Num7z2"/>
    <w:qFormat/>
    <w:rPr>
      <w:rFonts w:ascii="Wingdings" w:hAnsi="Wingdings" w:cs="Wingdings"/>
    </w:rPr>
  </w:style>
  <w:style w:type="character" w:styleId="WW8Num8z0">
    <w:name w:val="WW8Num8z0"/>
    <w:qFormat/>
    <w:rPr>
      <w:rFonts w:ascii="Symbol" w:hAnsi="Symbol" w:cs="Symbol"/>
    </w:rPr>
  </w:style>
  <w:style w:type="character" w:styleId="WW8Num8z1">
    <w:name w:val="WW8Num8z1"/>
    <w:qFormat/>
    <w:rPr>
      <w:rFonts w:ascii="Courier New" w:hAnsi="Courier New" w:cs="Courier New"/>
    </w:rPr>
  </w:style>
  <w:style w:type="character" w:styleId="WW8Num8z2">
    <w:name w:val="WW8Num8z2"/>
    <w:qFormat/>
    <w:rPr>
      <w:rFonts w:ascii="Wingdings" w:hAnsi="Wingdings" w:cs="Wingdings"/>
    </w:rPr>
  </w:style>
  <w:style w:type="character" w:styleId="WW8Num9z0">
    <w:name w:val="WW8Num9z0"/>
    <w:qFormat/>
    <w:rPr>
      <w:rFonts w:ascii="Courier New" w:hAnsi="Courier New" w:cs="Courier New"/>
    </w:rPr>
  </w:style>
  <w:style w:type="character" w:styleId="WW8Num9z2">
    <w:name w:val="WW8Num9z2"/>
    <w:qFormat/>
    <w:rPr>
      <w:rFonts w:ascii="Wingdings" w:hAnsi="Wingdings" w:cs="Wingdings"/>
    </w:rPr>
  </w:style>
  <w:style w:type="character" w:styleId="WW8Num9z3">
    <w:name w:val="WW8Num9z3"/>
    <w:qFormat/>
    <w:rPr>
      <w:rFonts w:ascii="Symbol" w:hAnsi="Symbol" w:cs="Symbol"/>
    </w:rPr>
  </w:style>
  <w:style w:type="character" w:styleId="WW8Num10z0">
    <w:name w:val="WW8Num10z0"/>
    <w:qFormat/>
    <w:rPr>
      <w:rFonts w:ascii="Courier New" w:hAnsi="Courier New" w:cs="Courier New"/>
    </w:rPr>
  </w:style>
  <w:style w:type="character" w:styleId="WW8Num10z2">
    <w:name w:val="WW8Num10z2"/>
    <w:qFormat/>
    <w:rPr>
      <w:rFonts w:ascii="Wingdings" w:hAnsi="Wingdings" w:cs="Wingdings"/>
    </w:rPr>
  </w:style>
  <w:style w:type="character" w:styleId="WW8Num10z3">
    <w:name w:val="WW8Num10z3"/>
    <w:qFormat/>
    <w:rPr>
      <w:rFonts w:ascii="Symbol" w:hAnsi="Symbol" w:cs="Symbol"/>
    </w:rPr>
  </w:style>
  <w:style w:type="character" w:styleId="WW8Num11z0">
    <w:name w:val="WW8Num11z0"/>
    <w:qFormat/>
    <w:rPr>
      <w:rFonts w:ascii="Symbol" w:hAnsi="Symbol" w:cs="Symbol"/>
    </w:rPr>
  </w:style>
  <w:style w:type="character" w:styleId="WW8Num11z1">
    <w:name w:val="WW8Num11z1"/>
    <w:qFormat/>
    <w:rPr>
      <w:rFonts w:ascii="Courier New" w:hAnsi="Courier New" w:cs="Courier New"/>
    </w:rPr>
  </w:style>
  <w:style w:type="character" w:styleId="WW8Num11z2">
    <w:name w:val="WW8Num11z2"/>
    <w:qFormat/>
    <w:rPr>
      <w:rFonts w:ascii="Wingdings" w:hAnsi="Wingdings" w:cs="Wingdings"/>
    </w:rPr>
  </w:style>
  <w:style w:type="character" w:styleId="WW8Num12z0">
    <w:name w:val="WW8Num12z0"/>
    <w:qFormat/>
    <w:rPr/>
  </w:style>
  <w:style w:type="character" w:styleId="WW8Num14z0">
    <w:name w:val="WW8Num14z0"/>
    <w:qFormat/>
    <w:rPr/>
  </w:style>
  <w:style w:type="character" w:styleId="WW8Num14z2">
    <w:name w:val="WW8Num14z2"/>
    <w:qFormat/>
    <w:rPr>
      <w:b/>
    </w:rPr>
  </w:style>
  <w:style w:type="character" w:styleId="WW8Num15z0">
    <w:name w:val="WW8Num15z0"/>
    <w:qFormat/>
    <w:rPr/>
  </w:style>
  <w:style w:type="character" w:styleId="WW8Num16z0">
    <w:name w:val="WW8Num16z0"/>
    <w:qFormat/>
    <w:rPr>
      <w:rFonts w:ascii="Times New Roman" w:hAnsi="Times New Roman" w:cs="Times New Roman"/>
    </w:rPr>
  </w:style>
  <w:style w:type="character" w:styleId="WW8Num16z1">
    <w:name w:val="WW8Num16z1"/>
    <w:qFormat/>
    <w:rPr>
      <w:rFonts w:ascii="Courier New" w:hAnsi="Courier New" w:cs="Courier New"/>
    </w:rPr>
  </w:style>
  <w:style w:type="character" w:styleId="WW8Num16z2">
    <w:name w:val="WW8Num16z2"/>
    <w:qFormat/>
    <w:rPr>
      <w:rFonts w:ascii="Wingdings" w:hAnsi="Wingdings" w:cs="Wingdings"/>
    </w:rPr>
  </w:style>
  <w:style w:type="character" w:styleId="WW8Num16z3">
    <w:name w:val="WW8Num16z3"/>
    <w:qFormat/>
    <w:rPr>
      <w:rFonts w:ascii="Symbol" w:hAnsi="Symbol" w:cs="Symbol"/>
    </w:rPr>
  </w:style>
  <w:style w:type="character" w:styleId="WW8Num17z0">
    <w:name w:val="WW8Num17z0"/>
    <w:qFormat/>
    <w:rPr/>
  </w:style>
  <w:style w:type="character" w:styleId="WW8Num18z0">
    <w:name w:val="WW8Num18z0"/>
    <w:qFormat/>
    <w:rPr>
      <w:i w:val="false"/>
    </w:rPr>
  </w:style>
  <w:style w:type="character" w:styleId="WW8Num18z1">
    <w:name w:val="WW8Num18z1"/>
    <w:qFormat/>
    <w:rPr/>
  </w:style>
  <w:style w:type="character" w:styleId="WW8Num19z0">
    <w:name w:val="WW8Num19z0"/>
    <w:qFormat/>
    <w:rPr/>
  </w:style>
  <w:style w:type="character" w:styleId="WW8Num19z2">
    <w:name w:val="WW8Num19z2"/>
    <w:qFormat/>
    <w:rPr>
      <w:b w:val="false"/>
      <w:i w:val="false"/>
    </w:rPr>
  </w:style>
  <w:style w:type="character" w:styleId="WW8Num20z0">
    <w:name w:val="WW8Num20z0"/>
    <w:qFormat/>
    <w:rPr>
      <w:rFonts w:ascii="Symbol" w:hAnsi="Symbol" w:cs="Symbol"/>
    </w:rPr>
  </w:style>
  <w:style w:type="character" w:styleId="WW8Num20z1">
    <w:name w:val="WW8Num20z1"/>
    <w:qFormat/>
    <w:rPr/>
  </w:style>
  <w:style w:type="character" w:styleId="WW8Num22z0">
    <w:name w:val="WW8Num22z0"/>
    <w:qFormat/>
    <w:rPr>
      <w:b/>
    </w:rPr>
  </w:style>
  <w:style w:type="character" w:styleId="WW8Num22z1">
    <w:name w:val="WW8Num22z1"/>
    <w:qFormat/>
    <w:rPr/>
  </w:style>
  <w:style w:type="character" w:styleId="WW8Num23z0">
    <w:name w:val="WW8Num23z0"/>
    <w:qFormat/>
    <w:rPr/>
  </w:style>
  <w:style w:type="character" w:styleId="WW8Num24z0">
    <w:name w:val="WW8Num24z0"/>
    <w:qFormat/>
    <w:rPr>
      <w:rFonts w:ascii="Courier New" w:hAnsi="Courier New" w:cs="Courier New"/>
    </w:rPr>
  </w:style>
  <w:style w:type="character" w:styleId="WW8Num24z2">
    <w:name w:val="WW8Num24z2"/>
    <w:qFormat/>
    <w:rPr>
      <w:rFonts w:ascii="Wingdings" w:hAnsi="Wingdings" w:cs="Wingdings"/>
    </w:rPr>
  </w:style>
  <w:style w:type="character" w:styleId="WW8Num24z3">
    <w:name w:val="WW8Num24z3"/>
    <w:qFormat/>
    <w:rPr>
      <w:rFonts w:ascii="Symbol" w:hAnsi="Symbol" w:cs="Symbol"/>
    </w:rPr>
  </w:style>
  <w:style w:type="character" w:styleId="WW8Num25z0">
    <w:name w:val="WW8Num25z0"/>
    <w:qFormat/>
    <w:rPr>
      <w:b/>
      <w:i w:val="false"/>
    </w:rPr>
  </w:style>
  <w:style w:type="character" w:styleId="WW8Num25z1">
    <w:name w:val="WW8Num25z1"/>
    <w:qFormat/>
    <w:rPr>
      <w:b/>
    </w:rPr>
  </w:style>
  <w:style w:type="character" w:styleId="WW8Num25z2">
    <w:name w:val="WW8Num25z2"/>
    <w:qFormat/>
    <w:rPr/>
  </w:style>
  <w:style w:type="character" w:styleId="WW8Num26z0">
    <w:name w:val="WW8Num26z0"/>
    <w:qFormat/>
    <w:rPr>
      <w:rFonts w:ascii="Courier New" w:hAnsi="Courier New" w:cs="Courier New"/>
    </w:rPr>
  </w:style>
  <w:style w:type="character" w:styleId="WW8Num26z2">
    <w:name w:val="WW8Num26z2"/>
    <w:qFormat/>
    <w:rPr>
      <w:rFonts w:ascii="Wingdings" w:hAnsi="Wingdings" w:cs="Wingdings"/>
    </w:rPr>
  </w:style>
  <w:style w:type="character" w:styleId="WW8Num26z3">
    <w:name w:val="WW8Num26z3"/>
    <w:qFormat/>
    <w:rPr>
      <w:rFonts w:ascii="Symbol" w:hAnsi="Symbol" w:cs="Symbol"/>
    </w:rPr>
  </w:style>
  <w:style w:type="character" w:styleId="WW8Num27z0">
    <w:name w:val="WW8Num27z0"/>
    <w:qFormat/>
    <w:rPr/>
  </w:style>
  <w:style w:type="character" w:styleId="Style9">
    <w:name w:val="Основной шрифт абзаца"/>
    <w:qFormat/>
    <w:rPr/>
  </w:style>
  <w:style w:type="character" w:styleId="Style10">
    <w:name w:val="комментарий"/>
    <w:qFormat/>
    <w:rPr>
      <w:b/>
      <w:i/>
      <w:shd w:fill="FFFF99" w:val="clear"/>
    </w:rPr>
  </w:style>
  <w:style w:type="character" w:styleId="PageNumber">
    <w:name w:val="page number"/>
    <w:basedOn w:val="Style9"/>
    <w:rPr/>
  </w:style>
  <w:style w:type="character" w:styleId="Hyperlink">
    <w:name w:val="Hyperlink"/>
    <w:rPr>
      <w:color w:val="0000FF"/>
      <w:u w:val="single"/>
    </w:rPr>
  </w:style>
  <w:style w:type="character" w:styleId="Style11">
    <w:name w:val="Схема документа Знак"/>
    <w:qFormat/>
    <w:rPr>
      <w:rFonts w:ascii="Tahoma" w:hAnsi="Tahoma" w:cs="Tahoma"/>
      <w:sz w:val="16"/>
      <w:szCs w:val="16"/>
    </w:rPr>
  </w:style>
  <w:style w:type="character" w:styleId="Style12">
    <w:name w:val="Пункт Знак"/>
    <w:qFormat/>
    <w:rPr>
      <w:b/>
      <w:sz w:val="28"/>
      <w:szCs w:val="28"/>
      <w:lang w:val="ru-RU" w:bidi="ar-SA"/>
    </w:rPr>
  </w:style>
  <w:style w:type="character" w:styleId="Style13">
    <w:name w:val="Основной текст Знак"/>
    <w:qFormat/>
    <w:rPr>
      <w:sz w:val="24"/>
    </w:rPr>
  </w:style>
  <w:style w:type="character" w:styleId="1">
    <w:name w:val="Основной текст Знак1"/>
    <w:qFormat/>
    <w:rPr>
      <w:sz w:val="24"/>
    </w:rPr>
  </w:style>
  <w:style w:type="character" w:styleId="2">
    <w:name w:val="Основной текст с отступом 2 Знак"/>
    <w:qFormat/>
    <w:rPr>
      <w:sz w:val="32"/>
    </w:rPr>
  </w:style>
  <w:style w:type="character" w:styleId="Style14">
    <w:name w:val="Название Знак"/>
    <w:qFormat/>
    <w:rPr>
      <w:sz w:val="28"/>
    </w:rPr>
  </w:style>
  <w:style w:type="character" w:styleId="FollowedHyperlink">
    <w:name w:val="FollowedHyperlink"/>
    <w:rPr>
      <w:color w:val="954F72"/>
      <w:u w:val="single"/>
    </w:rPr>
  </w:style>
  <w:style w:type="character" w:styleId="private-procedure">
    <w:name w:val="private-procedure"/>
    <w:qFormat/>
    <w:rPr/>
  </w:style>
  <w:style w:type="character" w:styleId="fielddisplayvalue">
    <w:name w:val="fielddisplayvalue"/>
    <w:qFormat/>
    <w:rPr/>
  </w:style>
  <w:style w:type="character" w:styleId="Style15">
    <w:name w:val="Верхний колонтитул Знак"/>
    <w:qFormat/>
    <w:rPr/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BodyText"/>
    <w:qFormat/>
    <w:pPr>
      <w:jc w:val="center"/>
    </w:pPr>
    <w:rPr>
      <w:sz w:val="28"/>
    </w:rPr>
  </w:style>
  <w:style w:type="paragraph" w:styleId="BodyText">
    <w:name w:val="Body Text"/>
    <w:basedOn w:val="Normal"/>
    <w:pPr>
      <w:jc w:val="both"/>
    </w:pPr>
    <w:rPr>
      <w:sz w:val="24"/>
      <w:lang w:val="en-US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Subtitle">
    <w:name w:val="Subtitle"/>
    <w:basedOn w:val="Normal"/>
    <w:next w:val="BodyText"/>
    <w:qFormat/>
    <w:pPr>
      <w:jc w:val="center"/>
    </w:pPr>
    <w:rPr>
      <w:b/>
      <w:sz w:val="24"/>
    </w:rPr>
  </w:style>
  <w:style w:type="paragraph" w:styleId="21">
    <w:name w:val="Основной текст с отступом 2"/>
    <w:basedOn w:val="Normal"/>
    <w:qFormat/>
    <w:pPr>
      <w:ind w:firstLine="426" w:start="0" w:end="0"/>
      <w:jc w:val="both"/>
    </w:pPr>
    <w:rPr>
      <w:sz w:val="32"/>
    </w:rPr>
  </w:style>
  <w:style w:type="paragraph" w:styleId="11">
    <w:name w:val="Обычный1"/>
    <w:qFormat/>
    <w:pPr>
      <w:widowControl w:val="false"/>
      <w:bidi w:val="0"/>
      <w:spacing w:before="120" w:after="120"/>
      <w:ind w:firstLine="567" w:start="0" w:end="0"/>
      <w:jc w:val="both"/>
    </w:pPr>
    <w:rPr>
      <w:rFonts w:ascii="Times New Roman" w:hAnsi="Times New Roman" w:eastAsia="Times New Roman" w:cs="Times New Roman"/>
      <w:color w:val="auto"/>
      <w:sz w:val="24"/>
      <w:szCs w:val="20"/>
      <w:lang w:val="ru-RU" w:bidi="ar-SA" w:eastAsia="zh-CN"/>
    </w:rPr>
  </w:style>
  <w:style w:type="paragraph" w:styleId="BodyTextIndent">
    <w:name w:val="Body Text Indent"/>
    <w:basedOn w:val="Normal"/>
    <w:pPr>
      <w:ind w:firstLine="300" w:start="0" w:end="0"/>
      <w:jc w:val="both"/>
    </w:pPr>
    <w:rPr>
      <w:sz w:val="24"/>
    </w:rPr>
  </w:style>
  <w:style w:type="paragraph" w:styleId="3">
    <w:name w:val="Основной текст с отступом 3"/>
    <w:basedOn w:val="Normal"/>
    <w:qFormat/>
    <w:pPr>
      <w:ind w:hanging="284" w:start="284" w:end="0"/>
      <w:jc w:val="both"/>
    </w:pPr>
    <w:rPr>
      <w:sz w:val="24"/>
    </w:rPr>
  </w:style>
  <w:style w:type="paragraph" w:styleId="12">
    <w:name w:val="Стиль Заголовок 1 + по ширине"/>
    <w:basedOn w:val="Heading1"/>
    <w:qFormat/>
    <w:pPr>
      <w:keepLines/>
      <w:numPr>
        <w:ilvl w:val="0"/>
        <w:numId w:val="2"/>
      </w:numPr>
      <w:suppressAutoHyphens w:val="true"/>
      <w:spacing w:before="480" w:after="240"/>
      <w:outlineLvl w:val="9"/>
    </w:pPr>
    <w:rPr>
      <w:rFonts w:ascii="Arial" w:hAnsi="Arial" w:cs="Arial"/>
      <w:b/>
      <w:kern w:val="2"/>
      <w:sz w:val="40"/>
    </w:rPr>
  </w:style>
  <w:style w:type="paragraph" w:styleId="NormalWeb">
    <w:name w:val="Normal (Web)"/>
    <w:basedOn w:val="Normal"/>
    <w:qFormat/>
    <w:pPr>
      <w:spacing w:before="100" w:after="100"/>
    </w:pPr>
    <w:rPr/>
  </w:style>
  <w:style w:type="paragraph" w:styleId="Style16">
    <w:name w:val="Текст выноски"/>
    <w:basedOn w:val="Normal"/>
    <w:qFormat/>
    <w:pPr/>
    <w:rPr>
      <w:rFonts w:ascii="Tahoma" w:hAnsi="Tahoma" w:cs="Tahoma"/>
      <w:sz w:val="16"/>
      <w:szCs w:val="16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677" w:leader="none"/>
        <w:tab w:val="right" w:pos="9355" w:leader="none"/>
      </w:tabs>
    </w:pPr>
    <w:rPr/>
  </w:style>
  <w:style w:type="paragraph" w:styleId="Style17">
    <w:name w:val="Нумерованный список"/>
    <w:basedOn w:val="Normal"/>
    <w:qFormat/>
    <w:pPr>
      <w:autoSpaceDE w:val="false"/>
      <w:spacing w:lineRule="auto" w:line="360" w:before="60" w:after="0"/>
      <w:jc w:val="both"/>
    </w:pPr>
    <w:rPr>
      <w:sz w:val="28"/>
      <w:szCs w:val="24"/>
    </w:rPr>
  </w:style>
  <w:style w:type="paragraph" w:styleId="Style18">
    <w:name w:val="Маркированный список"/>
    <w:basedOn w:val="BodyText"/>
    <w:qFormat/>
    <w:pPr>
      <w:numPr>
        <w:ilvl w:val="0"/>
        <w:numId w:val="4"/>
      </w:numPr>
      <w:autoSpaceDE w:val="false"/>
      <w:spacing w:lineRule="auto" w:line="360" w:before="120" w:after="0"/>
      <w:ind w:hanging="374" w:start="731" w:end="0"/>
    </w:pPr>
    <w:rPr>
      <w:rFonts w:cs="Arial"/>
      <w:sz w:val="28"/>
    </w:rPr>
  </w:style>
  <w:style w:type="paragraph" w:styleId="Style19">
    <w:name w:val="Таблица текст"/>
    <w:basedOn w:val="Normal"/>
    <w:qFormat/>
    <w:pPr>
      <w:spacing w:before="40" w:after="40"/>
      <w:ind w:hanging="0" w:start="57" w:end="57"/>
    </w:pPr>
    <w:rPr>
      <w:sz w:val="24"/>
    </w:rPr>
  </w:style>
  <w:style w:type="paragraph" w:styleId="Header">
    <w:name w:val="header"/>
    <w:basedOn w:val="Normal"/>
    <w:pPr>
      <w:tabs>
        <w:tab w:val="clear" w:pos="720"/>
        <w:tab w:val="center" w:pos="4677" w:leader="none"/>
        <w:tab w:val="right" w:pos="9355" w:leader="none"/>
      </w:tabs>
    </w:pPr>
    <w:rPr/>
  </w:style>
  <w:style w:type="paragraph" w:styleId="Style20">
    <w:name w:val="Текст"/>
    <w:basedOn w:val="Normal"/>
    <w:qFormat/>
    <w:pPr/>
    <w:rPr>
      <w:rFonts w:ascii="Courier New" w:hAnsi="Courier New" w:cs="Courier New"/>
    </w:rPr>
  </w:style>
  <w:style w:type="paragraph" w:styleId="Style21">
    <w:name w:val="Таблица шапка"/>
    <w:basedOn w:val="Normal"/>
    <w:qFormat/>
    <w:pPr>
      <w:keepNext w:val="true"/>
      <w:spacing w:before="40" w:after="40"/>
      <w:ind w:hanging="0" w:start="57" w:end="57"/>
    </w:pPr>
    <w:rPr>
      <w:sz w:val="22"/>
    </w:rPr>
  </w:style>
  <w:style w:type="paragraph" w:styleId="31">
    <w:name w:val="заголовок 3"/>
    <w:basedOn w:val="Normal"/>
    <w:next w:val="Normal"/>
    <w:qFormat/>
    <w:pPr>
      <w:keepNext w:val="true"/>
      <w:autoSpaceDE w:val="false"/>
      <w:spacing w:lineRule="auto" w:line="360" w:before="120" w:after="0"/>
      <w:ind w:firstLine="720" w:start="0" w:end="0"/>
      <w:jc w:val="center"/>
      <w:outlineLvl w:val="2"/>
    </w:pPr>
    <w:rPr>
      <w:szCs w:val="24"/>
    </w:rPr>
  </w:style>
  <w:style w:type="paragraph" w:styleId="DefaultParagraphFontParaCharChar">
    <w:name w:val="Default Paragraph Font Para Char Char Знак"/>
    <w:basedOn w:val="Normal"/>
    <w:qFormat/>
    <w:pPr>
      <w:spacing w:lineRule="exact" w:line="240" w:before="0" w:after="160"/>
    </w:pPr>
    <w:rPr>
      <w:rFonts w:ascii="Verdana" w:hAnsi="Verdana" w:cs="Verdana"/>
      <w:lang w:val="en-US"/>
    </w:rPr>
  </w:style>
  <w:style w:type="paragraph" w:styleId="Style22">
    <w:name w:val="Знак Знак Знак Знак Знак Знак"/>
    <w:basedOn w:val="Normal"/>
    <w:next w:val="Heading1"/>
    <w:qFormat/>
    <w:pPr>
      <w:spacing w:lineRule="exact" w:line="240" w:before="0" w:after="160"/>
      <w:jc w:val="both"/>
    </w:pPr>
    <w:rPr>
      <w:rFonts w:ascii="Verdana" w:hAnsi="Verdana" w:cs="Verdana"/>
      <w:lang w:val="en-US"/>
    </w:rPr>
  </w:style>
  <w:style w:type="paragraph" w:styleId="Style23">
    <w:name w:val="Схема документа"/>
    <w:basedOn w:val="Normal"/>
    <w:qFormat/>
    <w:pPr/>
    <w:rPr>
      <w:rFonts w:ascii="Tahoma" w:hAnsi="Tahoma" w:cs="Tahoma"/>
      <w:sz w:val="16"/>
      <w:szCs w:val="16"/>
      <w:lang w:val="en-US"/>
    </w:rPr>
  </w:style>
  <w:style w:type="paragraph" w:styleId="Style24">
    <w:name w:val="Пункт"/>
    <w:basedOn w:val="Normal"/>
    <w:qFormat/>
    <w:pPr>
      <w:tabs>
        <w:tab w:val="clear" w:pos="720"/>
        <w:tab w:val="left" w:pos="1134" w:leader="none"/>
      </w:tabs>
      <w:spacing w:lineRule="auto" w:line="360"/>
      <w:ind w:hanging="1134" w:start="1134" w:end="0"/>
      <w:jc w:val="both"/>
    </w:pPr>
    <w:rPr>
      <w:b/>
      <w:sz w:val="28"/>
      <w:szCs w:val="28"/>
    </w:rPr>
  </w:style>
  <w:style w:type="paragraph" w:styleId="-2">
    <w:name w:val="Пункт-2"/>
    <w:basedOn w:val="Style24"/>
    <w:qFormat/>
    <w:pPr>
      <w:keepNext w:val="true"/>
      <w:outlineLvl w:val="2"/>
    </w:pPr>
    <w:rPr>
      <w:b w:val="false"/>
    </w:rPr>
  </w:style>
  <w:style w:type="paragraph" w:styleId="Style25">
    <w:name w:val="Подпункт"/>
    <w:basedOn w:val="Normal"/>
    <w:qFormat/>
    <w:pPr>
      <w:tabs>
        <w:tab w:val="clear" w:pos="720"/>
        <w:tab w:val="left" w:pos="1134" w:leader="none"/>
      </w:tabs>
      <w:spacing w:lineRule="auto" w:line="360"/>
      <w:ind w:hanging="1134" w:start="1134" w:end="0"/>
      <w:jc w:val="both"/>
    </w:pPr>
    <w:rPr>
      <w:sz w:val="28"/>
      <w:lang w:val="en-US"/>
    </w:rPr>
  </w:style>
  <w:style w:type="paragraph" w:styleId="Style26">
    <w:name w:val="Абзац списка"/>
    <w:basedOn w:val="Normal"/>
    <w:qFormat/>
    <w:pPr>
      <w:ind w:hanging="0" w:start="708" w:end="0"/>
    </w:pPr>
    <w:rPr/>
  </w:style>
  <w:style w:type="paragraph" w:styleId="Style27">
    <w:name w:val="[Основной абзац]"/>
    <w:basedOn w:val="Normal"/>
    <w:qFormat/>
    <w:pPr>
      <w:widowControl w:val="false"/>
      <w:autoSpaceDE w:val="false"/>
      <w:spacing w:lineRule="auto" w:line="288"/>
      <w:textAlignment w:val="center"/>
    </w:pPr>
    <w:rPr>
      <w:rFonts w:ascii="MinionPro-Regular;Times New Roman" w:hAnsi="MinionPro-Regular;Times New Roman" w:eastAsia="Cambria" w:cs="MinionPro-Regular;Times New Roman"/>
      <w:color w:val="000000"/>
      <w:sz w:val="24"/>
      <w:szCs w:val="24"/>
    </w:rPr>
  </w:style>
  <w:style w:type="paragraph" w:styleId="ConsPlusNormal">
    <w:name w:val="ConsPlusNormal"/>
    <w:qFormat/>
    <w:pPr>
      <w:widowControl w:val="false"/>
      <w:autoSpaceDE w:val="false"/>
      <w:bidi w:val="0"/>
    </w:pPr>
    <w:rPr>
      <w:rFonts w:ascii="Calibri" w:hAnsi="Calibri" w:eastAsia="Times New Roman" w:cs="Calibri"/>
      <w:color w:val="auto"/>
      <w:sz w:val="22"/>
      <w:szCs w:val="20"/>
      <w:lang w:val="ru-RU" w:bidi="ar-SA" w:eastAsia="zh-CN"/>
    </w:rPr>
  </w:style>
  <w:style w:type="paragraph" w:styleId="Default">
    <w:name w:val="Default"/>
    <w:qFormat/>
    <w:pPr>
      <w:widowControl/>
      <w:autoSpaceDE w:val="false"/>
      <w:bidi w:val="0"/>
    </w:pPr>
    <w:rPr>
      <w:rFonts w:ascii="Times New Roman" w:hAnsi="Times New Roman" w:eastAsia="Calibri" w:cs="Times New Roman"/>
      <w:color w:val="000000"/>
      <w:sz w:val="24"/>
      <w:szCs w:val="24"/>
      <w:lang w:val="ru-RU" w:bidi="ar-SA" w:eastAsia="zh-CN"/>
    </w:rPr>
  </w:style>
  <w:style w:type="paragraph" w:styleId="TOC7">
    <w:name w:val="toc 7"/>
    <w:basedOn w:val="Normal"/>
    <w:next w:val="Normal"/>
    <w:pPr>
      <w:spacing w:lineRule="auto" w:line="360"/>
      <w:ind w:firstLine="567" w:start="1680" w:end="0"/>
    </w:pPr>
    <w:rPr>
      <w:sz w:val="18"/>
      <w:szCs w:val="18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  <w:style w:type="numbering" w:styleId="WW8Num20">
    <w:name w:val="WW8Num20"/>
    <w:qFormat/>
  </w:style>
  <w:style w:type="numbering" w:styleId="WW8Num21">
    <w:name w:val="WW8Num21"/>
    <w:qFormat/>
  </w:style>
  <w:style w:type="numbering" w:styleId="WW8Num22">
    <w:name w:val="WW8Num22"/>
    <w:qFormat/>
  </w:style>
  <w:style w:type="numbering" w:styleId="WW8Num23">
    <w:name w:val="WW8Num23"/>
    <w:qFormat/>
  </w:style>
  <w:style w:type="numbering" w:styleId="WW8Num24">
    <w:name w:val="WW8Num24"/>
    <w:qFormat/>
  </w:style>
  <w:style w:type="numbering" w:styleId="WW8Num25">
    <w:name w:val="WW8Num25"/>
    <w:qFormat/>
  </w:style>
  <w:style w:type="numbering" w:styleId="WW8Num26">
    <w:name w:val="WW8Num26"/>
    <w:qFormat/>
  </w:style>
  <w:style w:type="numbering" w:styleId="WW8Num27">
    <w:name w:val="WW8Num27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yperlink" Target="http://www.zakupki.gov.ru/" TargetMode="External"/><Relationship Id="rId4" Type="http://schemas.openxmlformats.org/officeDocument/2006/relationships/hyperlink" Target="https://tender.lot-online.ru/" TargetMode="Externa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Application>LibreOffice/25.8.3.2$Linux_X86_64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2025-02-20T06:51:00Z</dcterms:created>
  <dc:creator>Суколенов В.Б.</dc:creator>
  <dc:description/>
  <cp:keywords/>
  <dc:language>en-US</dc:language>
  <cp:lastModifiedBy>Колотова Юлия Николаевна</cp:lastModifiedBy>
  <cp:lastPrinted>2025-02-18T14:27:00Z</cp:lastPrinted>
  <dcterms:modified xsi:type="dcterms:W3CDTF">2025-03-03T08:58:00Z</dcterms:modified>
  <cp:revision>7</cp:revision>
  <dc:subject/>
  <dc:title>ПРОТОКОЛ</dc:title>
</cp:coreProperties>
</file>