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end="0"/>
        <w:rPr>
          <w:b/>
          <w:bCs/>
          <w:i/>
          <w:i/>
          <w:caps/>
          <w:color w:val="000000"/>
          <w:sz w:val="16"/>
          <w:szCs w:val="16"/>
          <w:highlight w:val="yellow"/>
          <w:lang w:val="en-US" w:eastAsia="en-US"/>
        </w:rPr>
      </w:pPr>
      <w:r>
        <w:rPr>
          <w:b/>
          <w:bCs/>
          <w:i/>
          <w:caps/>
          <w:color w:val="000000"/>
          <w:sz w:val="16"/>
          <w:szCs w:val="16"/>
          <w:highlight w:val="yellow"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2668905</wp:posOffset>
            </wp:positionH>
            <wp:positionV relativeFrom="paragraph">
              <wp:posOffset>-57150</wp:posOffset>
            </wp:positionV>
            <wp:extent cx="1133475" cy="561975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ef93295407"/>
      <w:bookmarkStart w:id="1" w:name="_Ref93295407"/>
      <w:bookmarkEnd w:id="1"/>
    </w:p>
    <w:p>
      <w:pPr>
        <w:pStyle w:val="26"/>
        <w:jc w:val="center"/>
        <w:rPr>
          <w:b/>
          <w:bCs/>
          <w:i/>
          <w:i/>
          <w:caps/>
          <w:color w:val="000000"/>
          <w:sz w:val="16"/>
          <w:szCs w:val="28"/>
          <w:highlight w:val="yellow"/>
        </w:rPr>
      </w:pPr>
      <w:r>
        <w:rPr>
          <w:b/>
          <w:bCs/>
          <w:i/>
          <w:caps/>
          <w:color w:val="000000"/>
          <w:sz w:val="16"/>
          <w:szCs w:val="28"/>
          <w:highlight w:val="yellow"/>
        </w:rPr>
      </w:r>
    </w:p>
    <w:p>
      <w:pPr>
        <w:pStyle w:val="26"/>
        <w:jc w:val="center"/>
        <w:rPr>
          <w:b/>
          <w:bCs/>
          <w:caps/>
          <w:szCs w:val="28"/>
          <w:highlight w:val="yellow"/>
        </w:rPr>
      </w:pPr>
      <w:r>
        <w:rPr>
          <w:b/>
          <w:bCs/>
          <w:caps/>
          <w:szCs w:val="28"/>
          <w:highlight w:val="yellow"/>
        </w:rPr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b w:val="false"/>
          <w:bCs w:val="false"/>
          <w:caps/>
          <w:color w:val="000000"/>
          <w:sz w:val="28"/>
          <w:szCs w:val="28"/>
          <w:highlight w:val="yellow"/>
          <w:lang w:val="en-US" w:eastAsia="en-US"/>
        </w:rPr>
      </w:pPr>
      <w:r>
        <w:rPr>
          <w:rFonts w:cs="Times New Roman" w:ascii="Times New Roman" w:hAnsi="Times New Roman"/>
          <w:b w:val="false"/>
          <w:bCs w:val="false"/>
          <w:caps/>
          <w:color w:val="000000"/>
          <w:sz w:val="28"/>
          <w:szCs w:val="28"/>
          <w:highlight w:val="yellow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123825</wp:posOffset>
                </wp:positionH>
                <wp:positionV relativeFrom="paragraph">
                  <wp:posOffset>84455</wp:posOffset>
                </wp:positionV>
                <wp:extent cx="6293485" cy="0"/>
                <wp:effectExtent l="0" t="28575" r="0" b="2857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75pt,6.65pt" to="505.25pt,6.65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Протокол № 8/Р-РЗ</w:t>
      </w:r>
    </w:p>
    <w:p>
      <w:pPr>
        <w:pStyle w:val="Normal"/>
        <w:spacing w:lineRule="auto" w:line="240"/>
        <w:ind w:hanging="0" w:end="0"/>
        <w:rPr>
          <w:b/>
          <w:bCs/>
          <w:sz w:val="24"/>
        </w:rPr>
      </w:pPr>
      <w:r>
        <w:rPr>
          <w:b/>
          <w:bCs/>
          <w:sz w:val="24"/>
        </w:rPr>
        <w:t xml:space="preserve">заседания Закупочной комиссии по конкурсу в электронной форме </w:t>
      </w:r>
      <w:r>
        <w:rPr>
          <w:b/>
          <w:sz w:val="24"/>
        </w:rPr>
        <w:t>на право заключения договора по лоту: «</w:t>
      </w:r>
      <w:r>
        <w:rPr>
          <w:rFonts w:eastAsia="Calibri"/>
          <w:b/>
          <w:sz w:val="24"/>
        </w:rPr>
        <w:t>ОКПД2 29.10.59.390 Поставка специальных автомобилей в рамках выполнения инвестиционного проекта К_508-952.2, К_508-953.2, К_508-952.1, К_508-953.1</w:t>
      </w:r>
      <w:r>
        <w:rPr>
          <w:b/>
          <w:sz w:val="24"/>
        </w:rPr>
        <w:t>» для нужд ПАО «Якутскэнерго» (Лот №</w:t>
      </w:r>
      <w:r>
        <w:rPr>
          <w:rFonts w:eastAsia="Calibri"/>
          <w:b/>
          <w:sz w:val="24"/>
        </w:rPr>
        <w:t>75701-ТПИР ОНМ-2025-ЯЭ</w:t>
      </w:r>
      <w:r>
        <w:rPr>
          <w:b/>
          <w:bCs/>
          <w:sz w:val="24"/>
        </w:rPr>
        <w:t>)</w:t>
      </w:r>
    </w:p>
    <w:p>
      <w:pPr>
        <w:pStyle w:val="BodyText"/>
        <w:jc w:val="both"/>
        <w:rPr>
          <w:b/>
          <w:bCs/>
          <w:kern w:val="2"/>
          <w:sz w:val="24"/>
          <w:szCs w:val="28"/>
        </w:rPr>
      </w:pPr>
      <w:r>
        <w:rPr>
          <w:b/>
          <w:bCs/>
          <w:kern w:val="2"/>
          <w:sz w:val="24"/>
          <w:szCs w:val="28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520"/>
        <w:gridCol w:w="2512"/>
        <w:gridCol w:w="2513"/>
        <w:gridCol w:w="2520"/>
      </w:tblGrid>
      <w:tr>
        <w:trPr>
          <w:trHeight w:val="339" w:hRule="atLeast"/>
        </w:trPr>
        <w:tc>
          <w:tcPr>
            <w:tcW w:w="2520" w:type="dxa"/>
            <w:tcBorders/>
          </w:tcPr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</w:tc>
        <w:tc>
          <w:tcPr>
            <w:tcW w:w="2512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13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lineRule="auto" w:line="240"/>
              <w:ind w:hanging="0" w:end="0"/>
              <w:jc w:val="end"/>
              <w:rPr/>
            </w:pPr>
            <w:r>
              <w:rPr>
                <w:sz w:val="24"/>
                <w:szCs w:val="24"/>
              </w:rPr>
              <w:t xml:space="preserve">«28» </w:t>
            </w:r>
            <w:r>
              <w:rPr>
                <w:sz w:val="24"/>
                <w:szCs w:val="24"/>
                <w:lang w:val="en-US"/>
              </w:rPr>
              <w:t>н</w:t>
            </w:r>
            <w:r>
              <w:rPr>
                <w:sz w:val="24"/>
                <w:szCs w:val="24"/>
              </w:rPr>
              <w:t>оября 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 xml:space="preserve"> года</w:t>
            </w:r>
          </w:p>
        </w:tc>
      </w:tr>
    </w:tbl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>
      <w:pPr>
        <w:pStyle w:val="Normal"/>
        <w:spacing w:lineRule="auto" w:line="240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Конкурс </w:t>
      </w:r>
      <w:r>
        <w:rPr>
          <w:bCs/>
          <w:sz w:val="24"/>
        </w:rPr>
        <w:t xml:space="preserve">в электронной форме </w:t>
      </w:r>
      <w:r>
        <w:rPr>
          <w:sz w:val="24"/>
        </w:rPr>
        <w:t>на право заключения договора по лоту: «</w:t>
      </w:r>
      <w:r>
        <w:rPr>
          <w:rFonts w:eastAsia="Calibri"/>
          <w:sz w:val="24"/>
        </w:rPr>
        <w:t>ОКПД2 29.10.59.390 Поставка специальных автомобилей в рамках выполнения инвестиционного проекта К_508-952.2, К_508-953.2, К_508-952.1, К_508-953.1</w:t>
      </w:r>
      <w:r>
        <w:rPr>
          <w:sz w:val="24"/>
        </w:rPr>
        <w:t>» для нужд ПАО «Якутскэнерго» (Лот №</w:t>
      </w:r>
      <w:r>
        <w:rPr>
          <w:rFonts w:eastAsia="Calibri"/>
          <w:sz w:val="24"/>
        </w:rPr>
        <w:t>75701-ТПИР ОНМ-2025-ЯЭ</w:t>
      </w:r>
      <w:r>
        <w:rPr>
          <w:bCs/>
          <w:sz w:val="24"/>
          <w:szCs w:val="24"/>
        </w:rPr>
        <w:t>)</w:t>
      </w:r>
    </w:p>
    <w:p>
      <w:pPr>
        <w:pStyle w:val="26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567" w:leader="none"/>
        </w:tabs>
        <w:spacing w:lineRule="auto" w:line="240"/>
        <w:ind w:hanging="0" w:end="0"/>
        <w:rPr/>
      </w:pPr>
      <w:r>
        <w:rPr>
          <w:b/>
          <w:sz w:val="24"/>
          <w:szCs w:val="24"/>
        </w:rPr>
        <w:t>КОЛИЧЕСТВО ПОДАННЫХ ЗАЯВОК НА УЧАСТИЕ В ЗАКУПКЕ:</w:t>
      </w:r>
      <w:r>
        <w:rPr>
          <w:sz w:val="24"/>
          <w:szCs w:val="24"/>
        </w:rPr>
        <w:t xml:space="preserve"> 4 (четыре) заявок.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/>
        <w:ind w:hanging="0" w:end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843"/>
        <w:gridCol w:w="7654"/>
      </w:tblGrid>
      <w:tr>
        <w:trPr>
          <w:tblHeader w:val="true"/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spacing w:lineRule="auto" w:line="240"/>
              <w:ind w:firstLine="34"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7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11.09.2025 14:30:12</w:t>
            </w:r>
          </w:p>
        </w:tc>
        <w:tc>
          <w:tcPr>
            <w:tcW w:w="7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ООО «ТД «УРАЛ АВТО» 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(620076, Свердловская обл., г. Екатеринбург, ул. Самолетная, д. 53А, офис 125-10), ИНН 6672355911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12.09.2025 14:31:11</w:t>
            </w:r>
          </w:p>
        </w:tc>
        <w:tc>
          <w:tcPr>
            <w:tcW w:w="7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«ТД «ТЕХИНКОМ»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(123060, г. Москва, ул. Расплетина, д. 5, стр. 1, пом. IV комн. 64), 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ИНН 7734001297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12.09.2025 16:19:13</w:t>
            </w:r>
          </w:p>
        </w:tc>
        <w:tc>
          <w:tcPr>
            <w:tcW w:w="7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«РАРИТЭК АВТОКОМПЛЕКТ»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(423800, Республика Татарстан, м.р-н. Тукаевский Новотроицкое, тер. БСИ (база Строительной индустрии), ул. Старосармановская, зд. 30, пом. 5А, офис 504), ИНН 1639057796 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15.09.2025 08:48:06</w:t>
            </w:r>
          </w:p>
        </w:tc>
        <w:tc>
          <w:tcPr>
            <w:tcW w:w="7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«КАРЬЕРНЫЕ МАШИНЫ»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(660052, Красноярский край, г. Красноярск, ул. Затонская, д. 62),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ИНН 2464047651</w:t>
            </w:r>
          </w:p>
        </w:tc>
      </w:tr>
    </w:tbl>
    <w:p>
      <w:pPr>
        <w:pStyle w:val="Normal"/>
        <w:suppressAutoHyphens w:val="true"/>
        <w:spacing w:lineRule="auto" w:line="240"/>
        <w:ind w:hanging="0" w:end="0"/>
        <w:rPr/>
      </w:pPr>
      <w:r>
        <w:rPr>
          <w:b/>
          <w:sz w:val="24"/>
          <w:szCs w:val="24"/>
        </w:rPr>
        <w:t>КОЛИЧЕСТВО ОТКЛОНЕННЫХ ЗАЯВОК:</w:t>
      </w:r>
      <w:r>
        <w:rPr>
          <w:sz w:val="24"/>
          <w:szCs w:val="24"/>
        </w:rPr>
        <w:t xml:space="preserve"> 3 (три) заявки.</w:t>
      </w:r>
    </w:p>
    <w:p>
      <w:pPr>
        <w:pStyle w:val="26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6"/>
        <w:ind w:hanging="0" w:end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caps/>
          <w:sz w:val="24"/>
          <w:szCs w:val="24"/>
          <w:highlight w:val="yellow"/>
        </w:rPr>
      </w:pPr>
      <w:r>
        <w:rPr>
          <w:b/>
          <w:bCs/>
          <w:iCs/>
          <w:caps/>
          <w:sz w:val="24"/>
          <w:szCs w:val="24"/>
          <w:highlight w:val="yellow"/>
        </w:rPr>
      </w:r>
      <w:bookmarkStart w:id="2" w:name="_Ref93295407"/>
      <w:bookmarkStart w:id="3" w:name="_Ref93295407"/>
      <w:bookmarkEnd w:id="3"/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/>
      </w:pPr>
      <w:r>
        <w:rPr>
          <w:b/>
          <w:bCs/>
          <w:iCs/>
          <w:sz w:val="24"/>
          <w:szCs w:val="24"/>
        </w:rPr>
        <w:t>ВОПРОС №1. О рассмотрении результатов оценки заявок</w:t>
      </w:r>
    </w:p>
    <w:p>
      <w:pPr>
        <w:pStyle w:val="Normal"/>
        <w:widowControl w:val="false"/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284" w:leader="none"/>
          <w:tab w:val="left" w:pos="70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284" w:leader="none"/>
          <w:tab w:val="left" w:pos="851" w:leader="none"/>
        </w:tabs>
        <w:suppressAutoHyphens w:val="true"/>
        <w:spacing w:lineRule="auto" w:line="240"/>
        <w:ind w:firstLine="567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>Признать объем полученной информации достаточным для принятия решения.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284" w:leader="none"/>
          <w:tab w:val="left" w:pos="851" w:leader="none"/>
        </w:tabs>
        <w:suppressAutoHyphens w:val="true"/>
        <w:spacing w:lineRule="auto" w:line="240"/>
        <w:ind w:firstLine="567" w:start="0" w:end="0"/>
        <w:jc w:val="start"/>
        <w:rPr>
          <w:sz w:val="24"/>
          <w:szCs w:val="24"/>
        </w:rPr>
      </w:pPr>
      <w:r>
        <w:rPr/>
        <w:t>Принять к рассмотрению заявки следующих Участников: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9"/>
        <w:gridCol w:w="1417"/>
        <w:gridCol w:w="6408"/>
        <w:gridCol w:w="1842"/>
      </w:tblGrid>
      <w:tr>
        <w:trPr>
          <w:trHeight w:val="900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6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Цена заявки, руб. без НДС </w:t>
            </w:r>
          </w:p>
        </w:tc>
      </w:tr>
      <w:tr>
        <w:trPr>
          <w:trHeight w:val="659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11.09.2025 14:30:12</w:t>
            </w:r>
          </w:p>
        </w:tc>
        <w:tc>
          <w:tcPr>
            <w:tcW w:w="6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ООО «ТД «УРАЛ АВТО» 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(620076, Свердловская обл., г. Екатеринбург, ул. Самолетная, д. 53А, офис 125-10), ИНН 6672355911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336 231 000,00 </w:t>
            </w:r>
          </w:p>
        </w:tc>
      </w:tr>
      <w:tr>
        <w:trPr>
          <w:trHeight w:val="659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12.09.2025 14:31:11</w:t>
            </w:r>
          </w:p>
        </w:tc>
        <w:tc>
          <w:tcPr>
            <w:tcW w:w="6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«ТД «ТЕХИНКОМ»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(123060, г. Москва, ул. Расплетина, д. 5, стр. 1, пом. IV комн. 64), ИНН 7734001297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339 031 722,22</w:t>
            </w:r>
          </w:p>
        </w:tc>
      </w:tr>
      <w:tr>
        <w:trPr>
          <w:trHeight w:val="659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12.09.2025 16:19:13</w:t>
            </w:r>
          </w:p>
        </w:tc>
        <w:tc>
          <w:tcPr>
            <w:tcW w:w="6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«РАРИТЭК АВТОКОМПЛЕКТ»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(423800, Республика Татарстан, м.р-н. Тукаевский Новотроицкое, тер. БСИ (база Строительной индустрии), ул. Старосармановская, зд. 30, пом. 5А, офис 504), 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ИНН 1639057796 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339 031 722,22</w:t>
            </w:r>
          </w:p>
        </w:tc>
      </w:tr>
      <w:tr>
        <w:trPr>
          <w:trHeight w:val="659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15.09.2025 08:48:06</w:t>
            </w:r>
          </w:p>
        </w:tc>
        <w:tc>
          <w:tcPr>
            <w:tcW w:w="6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«КАРЬЕРНЫЕ МАШИНЫ»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(660052, Красноярский край, г. Красноярск, ул. Затонская, д. 62), ИНН 2464047651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334 031 722,31</w:t>
            </w:r>
          </w:p>
        </w:tc>
      </w:tr>
    </w:tbl>
    <w:p>
      <w:pPr>
        <w:pStyle w:val="Normal"/>
        <w:tabs>
          <w:tab w:val="clear" w:pos="708"/>
          <w:tab w:val="left" w:pos="709" w:leader="none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BodyText"/>
        <w:rPr/>
      </w:pPr>
      <w:r>
        <w:rPr>
          <w:b/>
          <w:sz w:val="24"/>
        </w:rPr>
        <w:t xml:space="preserve">ВОПРОС №2. Об отклонении заявки Участника </w:t>
      </w:r>
      <w:r>
        <w:rPr>
          <w:b/>
          <w:color w:val="000000"/>
          <w:sz w:val="24"/>
        </w:rPr>
        <w:t>ООО «ТД «УРАЛ АВТО</w:t>
      </w:r>
      <w:r>
        <w:rPr>
          <w:b/>
          <w:sz w:val="24"/>
        </w:rPr>
        <w:t>»</w:t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keepNext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 w:before="0" w:after="120"/>
        <w:ind w:firstLine="426" w:end="0"/>
        <w:rPr/>
      </w:pPr>
      <w:r>
        <w:rPr>
          <w:sz w:val="24"/>
          <w:szCs w:val="24"/>
        </w:rPr>
        <w:t xml:space="preserve">Отклонить заявку Участника </w:t>
      </w:r>
      <w:r>
        <w:rPr>
          <w:color w:val="000000"/>
          <w:sz w:val="24"/>
          <w:szCs w:val="24"/>
        </w:rPr>
        <w:t>ООО «ТД «УРАЛ АВТО</w:t>
      </w:r>
      <w:r>
        <w:rPr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>
        <w:rPr/>
        <w:t>от дальнейшего рассмотрения на основании п. 4.9.5. «г» Документации о закупке, как несоответствующую следующим требованиям:</w:t>
      </w:r>
    </w:p>
    <w:tbl>
      <w:tblPr>
        <w:tblW w:w="101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9552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Выявленные несоответствия заявки требованиям Документации о закупке</w:t>
            </w:r>
          </w:p>
        </w:tc>
      </w:tr>
      <w:tr>
        <w:trPr>
          <w:trHeight w:val="36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start="2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 Коммерческом предложении участника, представленном в составе заявки отсутствует информация, подтверждающая страну происхождения товара для целей Постановления правительства РФ от 23 декабря 2024 №1875, а именно: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  <w:tab/>
              <w:t>по позициям 1, 2, 4, 5, 6, 7, 8, 9, 10 указаны номера из реестра российской промышленной продукции производителя, не являющегося производителем предлагаемого товара, в том числе: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  <w:tab/>
              <w:t>по позициям 1, 2, 4, 5, 8, 9, предлагаемая продукция и производитель не соответствуют продукции и производителю, указанному в реестре;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  <w:tab/>
              <w:t>по позициям 6, 7, 10 предлагаемая продукция не соответствуют продукции, указанной в реестре.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  <w:tab/>
              <w:t>по позициям 11,12 отсутствует номер реестровой записи из реестра российской промышленной продукции, что не соответствует условиям пункта 1.2.15 Документации о закупке, где указано, что: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start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«установлен режим запрета закупки иностранной продукции (когда национальный режим не предоставляется) на основании п.1 «Постановления правительства РФ от 23 декабря 2024 №1875» г: «запрет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(далее - иностранные лица), по перечню согласно приложению N 1…….».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 соответствии с условием п. 3 «Постановления правительства РФ от 23 декабря 2024 №1875»: а) «Установить, что информацией и документами, подтверждающими страну происхождения товара для целей настоящего постановления, являются: для подтверждения происхождения товаров, указанных в позициях 1 - 145 приложения N 1 к настоящему постановлению, …… - номер реестровой записи из реестра российской промышленной продукции, предусмотренного статьей 171 Федерального закона "О промышленной политике в Российской Федерации"…».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Таким образом, в связи с отсутствием номера реестровой записи из реестра российской промышленной продукции, не подтверждено российское происхождение оборудования и предлагаемое к поставке оборудование считается происходящим из иностранных государств.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Исходя из вышеизложенного, заявка ООО «ТД «УРАЛ АВТО» считается заявкой с иностранной продукцией.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 xml:space="preserve">Требованиями п. 4.13.2 Документации о закупке установлено следующее: 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«Если в подразделе 1.2 установлен режим запрета закупки иностранной продукции, то не допускается заключение договора на поставку такой продукции (на поставку товара иностранного происхождения / на оказание услуг иностранным лицом / на выполнение работ иностранным лицом) – соответствующая заявка отклоняется при рассмотрении заявок (подраздел 4.9)».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bCs/>
                <w:i/>
                <w:i/>
                <w:color w:val="000000"/>
                <w:sz w:val="22"/>
                <w:szCs w:val="22"/>
              </w:rPr>
            </w:pPr>
            <w:r>
              <w:rPr>
                <w:bCs/>
                <w:i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sz w:val="22"/>
                <w:szCs w:val="22"/>
              </w:rPr>
              <w:t xml:space="preserve">По результатам направления дополнительного запроса в адрес Участника указанное замечание </w:t>
            </w:r>
            <w:r>
              <w:rPr>
                <w:color w:val="000000"/>
                <w:sz w:val="22"/>
                <w:szCs w:val="22"/>
              </w:rPr>
              <w:t>снято в части позиций 4, 7, 10.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Замечание в части позиций 1, 2, 5, 6, 8, 9, не снято, а именно: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 скорректированном Коммерческом предложении участника, представленном по дозапросу, отсутствует информация, подтверждающая страну происхождения товара, предлагаемого к поставке по позициям пп. 1, 2, 5, 6, 8, 9 (п. 2. «Предложения в части продукции» Технического предложения Участника) для целей Постановления правительства РФ от 23 декабря 2024 №1875, в том числе: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по позициям 1, 2, 5, 8, 9 наименование продукции в реестре российской промышленной продукции не соответствует продукции, предлагаемой к поставке согласно Технического предложения участника. Указаны реестровые номера на базовое шасси транспортного средства, а не на готовую (конечную) продукцию, требуемую к поставке (Автомобиль бригадный с КМУ, Автомобиль бортовой с КМУ, Седельный тягач с КМУ);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 по позиции 6 Технического предложения участника к поставке предложен автокран «КС-65717 СТ» (производитель данной модели крана -  АО «Челябинский механический завод»), при этом в Коммерческом предложении в п. 6 указан номер в реестре российской промышленной продукции на автокран «КС-65713-5К-5В» производства АО «Клинцовский автокрановый завод».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Заявка ООО «ТД «УРАЛ АВТО» в виду отсутствия реестровых записей реестра российской промышленной продукции по позициям 1, 2, 5, 6, 8, 9 считается заявкой с иностранной продукцией и подлежит отклонению.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 xml:space="preserve">Требованиями п. 4.13.2 Документации о закупке установлено следующее: 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color w:val="000000"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«Если в подразделе 1.2 установлен режим запрета закупки иностранной продукции, то не допускается заключение договора на поставку такой продукции (на поставку товара иностранного происхождения / на оказание услуг иностранным лицом / на выполнение работ иностранным лицом) – соответствующая заявка отклоняется при рассмотрении заявок (подраздел 4.9)».</w:t>
            </w:r>
          </w:p>
        </w:tc>
      </w:tr>
    </w:tbl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BodyText"/>
        <w:rPr/>
      </w:pPr>
      <w:r>
        <w:rPr>
          <w:b/>
          <w:sz w:val="24"/>
        </w:rPr>
        <w:t xml:space="preserve">ВОПРОС №3. Об отклонении заявки Участника </w:t>
      </w:r>
      <w:r>
        <w:rPr>
          <w:b/>
          <w:color w:val="000000"/>
          <w:sz w:val="24"/>
        </w:rPr>
        <w:t>ООО «ТД «ТЕХИНКОМ</w:t>
      </w:r>
      <w:r>
        <w:rPr>
          <w:b/>
          <w:sz w:val="24"/>
        </w:rPr>
        <w:t>»</w:t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keepNext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 w:before="0" w:after="120"/>
        <w:rPr/>
      </w:pPr>
      <w:r>
        <w:rPr>
          <w:sz w:val="24"/>
          <w:szCs w:val="24"/>
        </w:rPr>
        <w:t xml:space="preserve">Отклонить заявку Участника </w:t>
      </w:r>
      <w:r>
        <w:rPr>
          <w:color w:val="000000"/>
          <w:sz w:val="24"/>
          <w:szCs w:val="24"/>
        </w:rPr>
        <w:t>ООО «ООО «ТД «ТЕХИНКОМ</w:t>
      </w:r>
      <w:r>
        <w:rPr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>
        <w:rPr/>
        <w:t>от дальнейшего рассмотрения на основании п. 4.9.5. «а», «г» Документации о закупке, как несоответствующую следующим требованиям:</w:t>
      </w:r>
    </w:p>
    <w:tbl>
      <w:tblPr>
        <w:tblW w:w="101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9552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Выявленные несоответствия заявки требованиям Документации о закупке</w:t>
            </w:r>
          </w:p>
        </w:tc>
      </w:tr>
      <w:tr>
        <w:trPr>
          <w:trHeight w:val="36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hanging="0" w:end="0"/>
              <w:rPr/>
            </w:pPr>
            <w:r>
              <w:rPr>
                <w:bCs/>
                <w:sz w:val="22"/>
                <w:szCs w:val="22"/>
              </w:rPr>
              <w:t xml:space="preserve">   </w:t>
            </w:r>
            <w:r>
              <w:rPr>
                <w:bCs/>
                <w:sz w:val="22"/>
                <w:szCs w:val="22"/>
              </w:rPr>
              <w:t>В Коммерческом предложении участника, представленном в составе заявки, отсутствует информация, подтверждающая страну происхождения товара для целей Постановления правительства РФ от 23 декабря 2024 №1875, а именно по позициям 4, 6, 7, 10, 11, 12 указаны номера из реестра российской промышленной продукции производителя, не являющегося производителем предлагаемого товара, в том числе: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426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  <w:tab/>
              <w:t>по позициям 11, 12 предлагаемая продукция и производитель не соответствуют продукции и производителю, указанным в реестре;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426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  <w:tab/>
              <w:t>по позициям 6, 10 предлагаемая продукция не соответствуют продукции, указанной в реестре.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     </w:t>
            </w:r>
            <w:r>
              <w:rPr>
                <w:bCs/>
                <w:sz w:val="22"/>
                <w:szCs w:val="22"/>
              </w:rPr>
              <w:t>-</w:t>
              <w:tab/>
              <w:t>по позициям 4, 7 производитель предлагаемой продукции не соответствуют производителю, указанному в реестре, что не соответствует условиям пункта 1.2.15 Документации о закупке, где указано, что: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start="284" w:end="0"/>
              <w:rPr/>
            </w:pPr>
            <w:r>
              <w:rPr>
                <w:bCs/>
                <w:i/>
                <w:sz w:val="22"/>
                <w:szCs w:val="22"/>
              </w:rPr>
              <w:t>«установлен режим запрета закупки иностранной продукции (когда национальный режим не предоставляется) на основании п.1 «Постановления правительства РФ от 23 декабря 2024 №1875» г: «запрет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(далее - иностранные лица), по перечню согласно приложению N 1…….».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 соответствии с условием п. 3 «Постановления правительства РФ от 23 декабря 2024 №1875»: а) «Установить, что информацией и документами, подтверждающими страну происхождения товара для целей настоящего постановления, являются: для подтверждения происхождения товаров, указанных в позициях 1 - 145 приложения N 1 к настоящему постановлению, …… - номер реестровой записи из реестра российской промышленной продукции, предусмотренного статьей 171 Федерального закона "О промышленной политике в Российской Федерации"…».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Таким образом, в связи с отсутствием номера реестровой записи из реестра российской промышленной продукции, не подтверждено российское происхождение оборудования и предлагаемое к поставке оборудование считается происходящим из иностранных государств.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426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Исходя из вышеизложенного, заявка ООО «ТД «ТЕХИНКОМ» считается заявкой с иностранной продукцией.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Требованиями п. 4.13.2 Документации о закупке установлено следующее: 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«Если в подразделе 1.2 установлен режим запрета закупки иностранной продукции, то не допускается заключение договора на поставку такой продукции (на поставку товара иностранного происхождения / на оказание услуг иностранным лицом / на выполнение работ иностранным лицом) – соответствующая заявка отклоняется при рассмотрении заявок (подраздел 4.9)».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bCs/>
                <w:i/>
                <w:i/>
                <w:color w:val="000000"/>
                <w:sz w:val="22"/>
                <w:szCs w:val="22"/>
              </w:rPr>
            </w:pPr>
            <w:r>
              <w:rPr>
                <w:bCs/>
                <w:i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Ответ на запрос дополнительной информации не предоставлен.</w:t>
            </w:r>
          </w:p>
        </w:tc>
      </w:tr>
      <w:tr>
        <w:trPr>
          <w:trHeight w:val="36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hanging="0" w:end="0"/>
              <w:rPr/>
            </w:pPr>
            <w:r>
              <w:rPr>
                <w:bCs/>
                <w:sz w:val="22"/>
                <w:szCs w:val="22"/>
              </w:rPr>
              <w:t xml:space="preserve">   </w:t>
            </w:r>
            <w:r>
              <w:rPr>
                <w:bCs/>
                <w:sz w:val="22"/>
                <w:szCs w:val="22"/>
              </w:rPr>
              <w:t xml:space="preserve">В Техническом предложении участника, представленном в составе заявки, отсутствует информация в столбце «Предложение участника по характеристикам и параметрам» Таблицы 3 «Требования к продукции» (информация указана в столбце «Способ подтверждения участником соответствие требованиям»), что не соответствует условиям пункта п.1.4.5 Приложения 4 к Документации о закупке к заполнению Технического предложения (форма 4 Документации о закупке) согласно которого: </w:t>
            </w:r>
          </w:p>
          <w:p>
            <w:pPr>
              <w:pStyle w:val="Normal"/>
              <w:tabs>
                <w:tab w:val="clear" w:pos="708"/>
                <w:tab w:val="left" w:pos="426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«Участником приводится табличная форма Технического предложения по форме, установленной в Технических требованиях (Приложение № 1 к Документации о закупке) – смотрите таблицу или таблицы со столбцом «Предложение Участника»: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- Участник обязан описать все такие позиции Технических требований (Приложение № 1 к Документации о закупке), включенных во все таблицы с учетом предлагаемых условий Договора, а также иных требований Документации о закупке. Под этим понимается, что Участник должен привести в Техническом предложении все необходимые таблицы и заполнить в них отведенный для его предложения столбец «Предложение Участника» с учетом инструкций для заполнения, без корректировки уже имеющейся в таблицах информации и требований, а также с сохранением их формы и структуры. При этом формирование Участником предложений необходимо осуществлять с учетом следующего: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 xml:space="preserve">    </w:t>
            </w:r>
            <w:r>
              <w:rPr>
                <w:bCs/>
                <w:i/>
                <w:sz w:val="22"/>
                <w:szCs w:val="22"/>
              </w:rPr>
              <w:t>- если по тем позициям Технических требований (Приложение № 1 к Документации о закупке), по которым требовалось подтверждение в форме согласия («Согласны с требованием»), Участник предоставит свои подробные предложения в отношении поставляемой продукции (то есть отличные от простого согласия) вместе с требуемым согласием, такие подробные предложения будут носить исключительно информационный характер, и не будут приняты к рассмотрению;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- равным образом, по тем позициям Технических требований (Приложение № 1 к Документации о закупке), по которым требовалось подробное предложение в отношении поставляемой продукции, Участником вместе с подробным предложением дополнительно заявит согласие («Согласны с требованием» или в иной форме декларацию)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рассмотрению.»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851" w:leader="none"/>
                <w:tab w:val="left" w:pos="993" w:leader="none"/>
              </w:tabs>
              <w:spacing w:lineRule="auto" w:line="240"/>
              <w:ind w:firstLine="284" w:end="0"/>
              <w:rPr>
                <w:bCs/>
                <w:i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Ответ на запрос дополнительной информации не предоставлен.</w:t>
            </w:r>
          </w:p>
        </w:tc>
      </w:tr>
    </w:tbl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BodyText"/>
        <w:rPr/>
      </w:pPr>
      <w:r>
        <w:rPr>
          <w:b/>
          <w:sz w:val="24"/>
        </w:rPr>
        <w:t xml:space="preserve">ВОПРОС №4. Об отклонении заявки Участника </w:t>
      </w:r>
      <w:r>
        <w:rPr>
          <w:b/>
          <w:color w:val="000000"/>
          <w:sz w:val="24"/>
        </w:rPr>
        <w:t>ООО «РАРИТЭК АВТОКОМПЛЕКТ</w:t>
      </w:r>
      <w:r>
        <w:rPr>
          <w:b/>
          <w:sz w:val="24"/>
        </w:rPr>
        <w:t>»</w:t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keepNext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 w:before="0" w:after="120"/>
        <w:ind w:firstLine="284" w:end="0"/>
        <w:rPr/>
      </w:pPr>
      <w:r>
        <w:rPr>
          <w:sz w:val="24"/>
          <w:szCs w:val="24"/>
        </w:rPr>
        <w:t xml:space="preserve">Отклонить заявку Участника </w:t>
      </w:r>
      <w:r>
        <w:rPr>
          <w:color w:val="000000"/>
          <w:sz w:val="24"/>
          <w:szCs w:val="24"/>
        </w:rPr>
        <w:t>ООО «РАРИТЭК АВТОКОМПЛЕКТ</w:t>
      </w:r>
      <w:r>
        <w:rPr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>
        <w:rPr/>
        <w:t>от дальнейшего рассмотрения на основании п. 4.9.5. «а» Документации о закупке, как несоответствующую следующим требованиям:</w:t>
      </w:r>
    </w:p>
    <w:tbl>
      <w:tblPr>
        <w:tblW w:w="101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9552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Выявленные несоответствия заявки требованиям Документации о закупке</w:t>
            </w:r>
          </w:p>
        </w:tc>
      </w:tr>
      <w:tr>
        <w:trPr>
          <w:trHeight w:val="36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start="2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В скорректированном Коммерческом предложении участника, представленном на запрос дополнительной информации, по позициям 6,7,10,11,12 наименование предлагаемой к поставке продукции не соответствует наименованию, указанному в Техническом предложении участника, а именно: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- по позиции 6 Коммерческого предложения участника указано: «Автокран "КС 65713 5К 5В"» производства АО «КАЗ», при этом в соответствующем пункте 6 Технического предложения участника указано: «Автокран "КС-65717 СТ"», производителем которого является АО «ЧМЗ».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- по позиции 7 Коммерческого предложения участника указано: «Автогидроподъемник "Автогидроподъемник модель ТА-18 на шасси ГАЗ-C42А43", двухрядная кабина», при этом в соответствующем пункте 7 Технического предложения участника указано: «Автогидроподъемник "ПСС-131.18" на шасси "ГАЗон Садко Next", двухрядная кабина», а также в пункте 7.13 Технического предложения участника указано «ПСС-131.18».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- по позиции 10 Коммерческого предложения участника указано: «Прицеп-роспуск 780597 с осями Плант 1201-2410002, шины КАМА" с телескопическим дышлом», при этом в соответствующем пункте 10 Технического предложения участника указано: «Прицеп-роспуск "780598 " с телескопическим дышлом».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- по позиции 11 Коммерческого предложения участника указано: «Полуприцеп ЧМЗАП 99905, модификации: 999050», производства ПАО «ЧМЗА Уралавтоприцеп», при этом в соответствующем пункте 10 Технического предложения участника указано: «Полуприцеп бортовой "ППБ 30Б-31-14К УСТ 9465"», производителем которой является ООО «УралСпецТранс».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позиции 12 Коммерческого предложения участника указано: «Полуприцеп ЧМЗАП-99905, модификации: 999050», производства ПАО «ЧМЗА Уралавтоприцеп», при этом в соответствующем пункте 11 Технического предложения участника указано: «Полуприцеп-тяжеловоз высокорамный "ППТ 39-31-11КУ УСТ 9465" с уголковыми трапами», производителем которой является ООО «УралСпецТранс».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/>
            </w:pPr>
            <w:r>
              <w:rPr>
                <w:color w:val="000000"/>
                <w:sz w:val="22"/>
                <w:szCs w:val="22"/>
              </w:rPr>
              <w:t>Указанные разночтения не соответствует требованиям п. 4.3.16 а) Документации о закупке, согласно которого: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i/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«Документы, входящие в заявку, не должны содержать недостоверные сведения или намеренно искаженную информацию. Также должны отсутствовать: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lineRule="auto" w:line="240" w:before="0" w:after="0"/>
              <w:ind w:firstLine="425" w:end="0"/>
              <w:contextualSpacing/>
              <w:rPr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а) внутренние противоречия между различными частями и (или) документами заявки, в том числе по тексту внутри одного документа».</w:t>
            </w:r>
          </w:p>
        </w:tc>
      </w:tr>
    </w:tbl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40"/>
        <w:ind w:hanging="0" w:end="0"/>
        <w:rPr/>
      </w:pPr>
      <w:r>
        <w:rPr>
          <w:b/>
          <w:sz w:val="24"/>
        </w:rPr>
        <w:t xml:space="preserve">ВОПРОС №5. </w:t>
      </w:r>
      <w:r>
        <w:rPr>
          <w:b/>
          <w:bCs/>
          <w:iCs/>
          <w:sz w:val="24"/>
        </w:rPr>
        <w:t>О признании заявок соответствующими условиям Документации о закупке</w:t>
      </w:r>
    </w:p>
    <w:p>
      <w:pPr>
        <w:pStyle w:val="Normal"/>
        <w:widowControl w:val="false"/>
        <w:autoSpaceDE w:val="false"/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keepNext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Признать заявку Участника </w:t>
      </w:r>
      <w:r>
        <w:rPr>
          <w:color w:val="000000"/>
          <w:sz w:val="24"/>
          <w:szCs w:val="24"/>
        </w:rPr>
        <w:t>ООО «КАРЬЕРНЫЕ МАШИНЫ»</w:t>
      </w:r>
      <w:r>
        <w:rPr>
          <w:sz w:val="24"/>
          <w:szCs w:val="24"/>
        </w:rPr>
        <w:t xml:space="preserve"> соответствующей условиям Документации о закупке и принять ее к дальнейшему рассмотрению</w:t>
      </w:r>
      <w:r>
        <w:rPr>
          <w:i/>
          <w:sz w:val="24"/>
        </w:rPr>
        <w:t>.</w:t>
      </w:r>
    </w:p>
    <w:p>
      <w:pPr>
        <w:pStyle w:val="Normal"/>
        <w:tabs>
          <w:tab w:val="clear" w:pos="708"/>
          <w:tab w:val="left" w:pos="709" w:leader="none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right" w:pos="936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z w:val="24"/>
          <w:szCs w:val="24"/>
        </w:rPr>
        <w:t>ВОПРОС №6: О признании закупки несостоявшейся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keepNext w:val="true"/>
        <w:tabs>
          <w:tab w:val="clear" w:pos="708"/>
          <w:tab w:val="left" w:pos="70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708"/>
          <w:tab w:val="left" w:pos="0" w:leader="none"/>
        </w:tabs>
        <w:spacing w:lineRule="auto" w:line="240"/>
        <w:ind w:firstLine="284" w:end="0"/>
        <w:rPr>
          <w:b/>
          <w:spacing w:val="4"/>
          <w:sz w:val="24"/>
          <w:szCs w:val="24"/>
          <w:highlight w:val="yellow"/>
        </w:rPr>
      </w:pPr>
      <w:r>
        <w:rPr>
          <w:sz w:val="24"/>
          <w:szCs w:val="24"/>
        </w:rPr>
        <w:t>Признать закупку несостоявшейся на основании п. 4.15.1 «б» Документации о закупке, так как по результатам рассмотрения заявок принято решение о признании менее 2 (двух) заявок соответствующими требованиям Документации о закупки.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/>
        <w:ind w:hanging="0" w:end="0"/>
        <w:rPr>
          <w:b/>
          <w:spacing w:val="4"/>
          <w:sz w:val="24"/>
          <w:szCs w:val="24"/>
          <w:highlight w:val="yellow"/>
        </w:rPr>
      </w:pPr>
      <w:r>
        <w:rPr>
          <w:b/>
          <w:spacing w:val="4"/>
          <w:sz w:val="24"/>
          <w:szCs w:val="24"/>
          <w:highlight w:val="yellow"/>
        </w:rPr>
      </w:r>
    </w:p>
    <w:p>
      <w:pPr>
        <w:pStyle w:val="Normal"/>
        <w:keepNext w:val="true"/>
        <w:tabs>
          <w:tab w:val="clear" w:pos="708"/>
          <w:tab w:val="right" w:pos="9360" w:leader="none"/>
        </w:tabs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ВОПРОС №7: О заключении договора с единственным участником закупки</w:t>
      </w:r>
    </w:p>
    <w:p>
      <w:pPr>
        <w:pStyle w:val="Normal"/>
        <w:keepNext w:val="true"/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/>
        <w:ind w:hanging="0" w:end="0"/>
        <w:rPr>
          <w:bCs/>
        </w:rPr>
      </w:pPr>
      <w:r>
        <w:rPr>
          <w:b/>
          <w:bCs/>
          <w:iCs/>
          <w:sz w:val="24"/>
          <w:szCs w:val="24"/>
        </w:rPr>
        <w:t>РЕШИЛИ:</w:t>
      </w:r>
    </w:p>
    <w:p>
      <w:pPr>
        <w:pStyle w:val="16"/>
        <w:numPr>
          <w:ilvl w:val="0"/>
          <w:numId w:val="4"/>
        </w:numPr>
        <w:tabs>
          <w:tab w:val="left" w:pos="360" w:leader="none"/>
          <w:tab w:val="left" w:pos="567" w:leader="none"/>
        </w:tabs>
        <w:suppressAutoHyphens w:val="true"/>
        <w:autoSpaceDE w:val="true"/>
        <w:ind w:firstLine="284" w:start="0" w:end="0"/>
        <w:rPr/>
      </w:pPr>
      <w:r>
        <w:rPr>
          <w:bCs/>
        </w:rPr>
        <w:t>Заключить договор по лоту: «</w:t>
      </w:r>
      <w:r>
        <w:rPr>
          <w:rFonts w:eastAsia="Calibri"/>
        </w:rPr>
        <w:t>ОКПД2 29.10.59.390 Поставка специальных автомобилей в рамках выполнения инвестиционного проекта К_508-952.2, К_508-953.2, К_508-952.1, К_508-953.1</w:t>
      </w:r>
      <w:r>
        <w:rPr>
          <w:bCs/>
        </w:rPr>
        <w:t xml:space="preserve">)» </w:t>
      </w:r>
      <w:r>
        <w:rPr/>
        <w:t>с единственным участником закупки -</w:t>
      </w:r>
      <w:r>
        <w:rPr>
          <w:iCs/>
        </w:rPr>
        <w:t xml:space="preserve"> </w:t>
      </w:r>
      <w:r>
        <w:rPr>
          <w:color w:val="000000"/>
        </w:rPr>
        <w:t>ООО «КАРЬЕРНЫЕ МАШИНЫ» (660052, Красноярский край, г. Красноярск, ул. Затонская, д. 62, ИНН 2464047651</w:t>
      </w:r>
      <w:r>
        <w:rPr/>
        <w:t xml:space="preserve">) на сумму </w:t>
      </w:r>
      <w:r>
        <w:rPr>
          <w:bCs/>
        </w:rPr>
        <w:t xml:space="preserve">не более </w:t>
      </w:r>
      <w:r>
        <w:rPr>
          <w:color w:val="000000"/>
        </w:rPr>
        <w:t xml:space="preserve">334 031 722,31 </w:t>
      </w:r>
      <w:r>
        <w:rPr>
          <w:bCs/>
        </w:rPr>
        <w:t xml:space="preserve">руб. без учета НДС. 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276" w:leader="none"/>
        </w:tabs>
        <w:suppressAutoHyphens w:val="true"/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>Инициатору договора обеспечить подписание договора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 При подготовке договора к подписанию включить в спецификацию договора информацию о наименовании страны происхождения товара в соответствии с общероссийским классификатором стран мира, и изготовителе продукции в строгом соответствии с информацией, указанной в заявке Победителя.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284" w:leader="none"/>
          <w:tab w:val="left" w:pos="360" w:leader="none"/>
        </w:tabs>
        <w:suppressAutoHyphens w:val="true"/>
        <w:spacing w:lineRule="auto" w:line="240"/>
        <w:ind w:firstLine="284" w:start="0" w:end="0"/>
        <w:rPr>
          <w:bCs/>
          <w:sz w:val="24"/>
          <w:szCs w:val="24"/>
        </w:rPr>
      </w:pPr>
      <w:r>
        <w:rPr>
          <w:sz w:val="24"/>
          <w:szCs w:val="24"/>
        </w:rPr>
        <w:t xml:space="preserve">Единственному участнику закупки - </w:t>
      </w:r>
      <w:r>
        <w:rPr>
          <w:color w:val="000000"/>
          <w:sz w:val="24"/>
          <w:szCs w:val="24"/>
        </w:rPr>
        <w:t>ООО «КАРЬЕРНЫЕ МАШИНЫ»</w:t>
      </w:r>
      <w:r>
        <w:rPr>
          <w:sz w:val="24"/>
          <w:szCs w:val="24"/>
        </w:rPr>
        <w:t>, 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5.2 Документации о закупке.</w:t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spacing w:lineRule="atLeast" w:line="0"/>
        <w:ind w:end="-1"/>
        <w:jc w:val="both"/>
        <w:rPr/>
      </w:pPr>
      <w:r>
        <w:rPr>
          <w:b/>
          <w:sz w:val="24"/>
        </w:rPr>
        <w:t>Секретарь Закупочной комиссии</w:t>
      </w:r>
      <w:r>
        <w:rPr>
          <w:b/>
          <w:bCs/>
          <w:sz w:val="24"/>
        </w:rPr>
        <w:t xml:space="preserve">                                                                           Слипченко П.Э.  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34" w:right="707" w:gutter="0" w:header="426" w:top="709" w:footer="308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Proxima Nova ExCn Rg">
    <w:altName w:val="Candara"/>
    <w:charset w:val="00" w:characterSet="windows-1252"/>
    <w:family w:val="moder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200" w:leader="none"/>
        <w:tab w:val="right" w:pos="10080" w:leader="none"/>
      </w:tabs>
      <w:ind w:hanging="0" w:end="0"/>
      <w:rPr/>
    </w:pPr>
    <w:r>
      <w:rPr>
        <w:bCs/>
        <w:sz w:val="20"/>
      </w:rPr>
      <w:tab/>
      <w:tab/>
    </w:r>
    <w:r>
      <w:rPr>
        <w:bCs/>
        <w:i/>
        <w:sz w:val="20"/>
      </w:rPr>
      <w:t xml:space="preserve">стр.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PAGE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6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из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NUMPAGES \* ARABIC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6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Cs/>
        <w:i/>
      </w:rPr>
      <w:t xml:space="preserve">стр. </w:t>
    </w:r>
    <w:r>
      <w:rPr>
        <w:bCs/>
        <w:i/>
      </w:rPr>
      <w:fldChar w:fldCharType="begin"/>
    </w:r>
    <w:r>
      <w:rPr>
        <w:i/>
        <w:bCs/>
      </w:rPr>
      <w:instrText xml:space="preserve"> PAGE </w:instrText>
    </w:r>
    <w:r>
      <w:rPr>
        <w:i/>
        <w:bCs/>
      </w:rPr>
      <w:fldChar w:fldCharType="separate"/>
    </w:r>
    <w:r>
      <w:rPr>
        <w:i/>
        <w:bCs/>
      </w:rPr>
      <w:t>1</w:t>
    </w:r>
    <w:r>
      <w:rPr>
        <w:i/>
        <w:bCs/>
      </w:rPr>
      <w:fldChar w:fldCharType="end"/>
    </w:r>
    <w:r>
      <w:rPr>
        <w:bCs/>
        <w:i/>
      </w:rPr>
      <w:t xml:space="preserve"> из </w:t>
    </w:r>
    <w:r>
      <w:rPr>
        <w:bCs/>
        <w:i/>
      </w:rPr>
      <w:fldChar w:fldCharType="begin"/>
    </w:r>
    <w:r>
      <w:rPr>
        <w:i/>
        <w:bCs/>
      </w:rPr>
      <w:instrText xml:space="preserve"> NUMPAGES \* ARABIC </w:instrText>
    </w:r>
    <w:r>
      <w:rPr>
        <w:i/>
        <w:bCs/>
      </w:rPr>
      <w:fldChar w:fldCharType="separate"/>
    </w:r>
    <w:r>
      <w:rPr>
        <w:i/>
        <w:bCs/>
      </w:rPr>
      <w:t>6</w:t>
    </w:r>
    <w:r>
      <w:rPr>
        <w:i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sz w:val="24"/>
        <w:b w:val="false"/>
        <w:szCs w:val="24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i w:val="false"/>
        <w:b w:val="fals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418" w:hanging="1134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2553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269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3261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873"/>
        </w:tabs>
        <w:ind w:star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593"/>
        </w:tabs>
        <w:ind w:star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313"/>
        </w:tabs>
        <w:ind w:star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033"/>
        </w:tabs>
        <w:ind w:star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753"/>
        </w:tabs>
        <w:ind w:star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473"/>
        </w:tabs>
        <w:ind w:star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193"/>
        </w:tabs>
        <w:ind w:star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913"/>
        </w:tabs>
        <w:ind w:start="5913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i w:val="false"/>
        <w:b w:val="false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10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0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9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708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708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708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 w:val="false"/>
      <w:sz w:val="24"/>
      <w:szCs w:val="24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b w:val="false"/>
      <w:i w:val="false"/>
      <w:sz w:val="24"/>
    </w:rPr>
  </w:style>
  <w:style w:type="character" w:styleId="WW8Num5z0">
    <w:name w:val="WW8Num5z0"/>
    <w:qFormat/>
    <w:rPr>
      <w:b w:val="false"/>
      <w:sz w:val="24"/>
      <w:szCs w:val="24"/>
    </w:rPr>
  </w:style>
  <w:style w:type="character" w:styleId="WW8Num6z0">
    <w:name w:val="WW8Num6z0"/>
    <w:qFormat/>
    <w:rPr>
      <w:sz w:val="24"/>
      <w:szCs w:val="24"/>
    </w:rPr>
  </w:style>
  <w:style w:type="character" w:styleId="WW8Num7z0">
    <w:name w:val="WW8Num7z0"/>
    <w:qFormat/>
    <w:rPr>
      <w:b w:val="false"/>
      <w:i w:val="false"/>
      <w:sz w:val="24"/>
    </w:rPr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sz w:val="24"/>
      <w:szCs w:val="24"/>
    </w:rPr>
  </w:style>
  <w:style w:type="character" w:styleId="WW8Num11z0">
    <w:name w:val="WW8Num11z0"/>
    <w:qFormat/>
    <w:rPr/>
  </w:style>
  <w:style w:type="character" w:styleId="WW8Num11z2">
    <w:name w:val="WW8Num11z2"/>
    <w:qFormat/>
    <w:rPr>
      <w:b w:val="false"/>
    </w:rPr>
  </w:style>
  <w:style w:type="character" w:styleId="WW8Num11z3">
    <w:name w:val="WW8Num11z3"/>
    <w:qFormat/>
    <w:rPr>
      <w:b w:val="false"/>
      <w:i w:val="false"/>
    </w:rPr>
  </w:style>
  <w:style w:type="character" w:styleId="WW8Num11z5">
    <w:name w:val="WW8Num11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pacing w:val="0"/>
      <w:kern w:val="0"/>
      <w:position w:val="0"/>
      <w:sz w:val="24"/>
      <w:u w:val="none"/>
      <w:vertAlign w:val="baseline"/>
      <w:em w:val="no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b w:val="false"/>
      <w:i w:val="false"/>
      <w:sz w:val="24"/>
    </w:rPr>
  </w:style>
  <w:style w:type="character" w:styleId="WW8Num16z0">
    <w:name w:val="WW8Num16z0"/>
    <w:qFormat/>
    <w:rPr>
      <w:sz w:val="24"/>
    </w:rPr>
  </w:style>
  <w:style w:type="character" w:styleId="WW8Num19z0">
    <w:name w:val="WW8Num19z0"/>
    <w:qFormat/>
    <w:rPr>
      <w:color w:val="000000"/>
    </w:rPr>
  </w:style>
  <w:style w:type="character" w:styleId="WW8Num19z1">
    <w:name w:val="WW8Num19z1"/>
    <w:qFormat/>
    <w:rPr/>
  </w:style>
  <w:style w:type="character" w:styleId="WW8Num19z6">
    <w:name w:val="WW8Num19z6"/>
    <w:qFormat/>
    <w:rPr>
      <w:b w:val="false"/>
      <w:bCs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/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4">
    <w:name w:val="WW8Num24z4"/>
    <w:qFormat/>
    <w:rPr>
      <w:rFonts w:ascii="Courier New" w:hAnsi="Courier New" w:cs="Courier New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29z2">
    <w:name w:val="WW8Num29z2"/>
    <w:qFormat/>
    <w:rPr>
      <w:b w:val="false"/>
      <w:i w:val="false"/>
    </w:rPr>
  </w:style>
  <w:style w:type="character" w:styleId="WW8Num30z0">
    <w:name w:val="WW8Num30z0"/>
    <w:qFormat/>
    <w:rPr>
      <w:rFonts w:ascii="Calibri" w:hAnsi="Calibri" w:cs="Calibri"/>
      <w:b w:val="false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4">
    <w:name w:val="WW8Num32z4"/>
    <w:qFormat/>
    <w:rPr>
      <w:rFonts w:ascii="Courier New" w:hAnsi="Courier New" w:cs="Courier New"/>
    </w:rPr>
  </w:style>
  <w:style w:type="character" w:styleId="WW8Num33z0">
    <w:name w:val="WW8Num33z0"/>
    <w:qFormat/>
    <w:rPr>
      <w:sz w:val="24"/>
    </w:rPr>
  </w:style>
  <w:style w:type="character" w:styleId="WW8Num34z0">
    <w:name w:val="WW8Num34z0"/>
    <w:qFormat/>
    <w:rPr>
      <w:b w:val="false"/>
      <w:sz w:val="24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>
      <w:b w:val="false"/>
    </w:rPr>
  </w:style>
  <w:style w:type="character" w:styleId="WW8Num38z0">
    <w:name w:val="WW8Num38z0"/>
    <w:qFormat/>
    <w:rPr>
      <w:b w:val="false"/>
    </w:rPr>
  </w:style>
  <w:style w:type="character" w:styleId="WW8Num39z0">
    <w:name w:val="WW8Num39z0"/>
    <w:qFormat/>
    <w:rPr>
      <w:b w:val="false"/>
    </w:rPr>
  </w:style>
  <w:style w:type="character" w:styleId="WW8Num40z0">
    <w:name w:val="WW8Num40z0"/>
    <w:qFormat/>
    <w:rPr>
      <w:sz w:val="24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21">
    <w:name w:val="Заголовок 2 Знак1"/>
    <w:qFormat/>
    <w:rPr>
      <w:b/>
      <w:sz w:val="32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Style6">
    <w:name w:val="Верхний колонтитул Знак"/>
    <w:qFormat/>
    <w:rPr>
      <w:rFonts w:ascii="Times New Roman" w:hAnsi="Times New Roman" w:eastAsia="Times New Roman" w:cs="Times New Roman"/>
      <w:i/>
      <w:sz w:val="20"/>
      <w:szCs w:val="20"/>
    </w:rPr>
  </w:style>
  <w:style w:type="character" w:styleId="Style7">
    <w:name w:val="Ниж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8">
    <w:name w:val="Схема документа Знак"/>
    <w:qFormat/>
    <w:rPr>
      <w:rFonts w:ascii="Tahoma" w:hAnsi="Tahoma" w:eastAsia="Times New Roman" w:cs="Times New Roman"/>
      <w:sz w:val="20"/>
      <w:szCs w:val="20"/>
      <w:shd w:fill="000080" w:val="clear"/>
    </w:rPr>
  </w:style>
  <w:style w:type="character" w:styleId="Style9">
    <w:name w:val="Текст сноски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0">
    <w:name w:val="Пункт Знак"/>
    <w:qFormat/>
    <w:rPr>
      <w:sz w:val="28"/>
      <w:lang w:val="ru-RU" w:bidi="ar-SA"/>
    </w:rPr>
  </w:style>
  <w:style w:type="character" w:styleId="Style11">
    <w:name w:val="комментарий"/>
    <w:qFormat/>
    <w:rPr>
      <w:b/>
      <w:i/>
      <w:shd w:fill="FFFF99" w:val="clear"/>
    </w:rPr>
  </w:style>
  <w:style w:type="character" w:styleId="Style12">
    <w:name w:val="Основной текст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4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5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kern w:val="2"/>
      <w:sz w:val="28"/>
      <w:szCs w:val="20"/>
    </w:rPr>
  </w:style>
  <w:style w:type="character" w:styleId="Style16">
    <w:name w:val="Основной текст с отступом Знак"/>
    <w:qFormat/>
    <w:rPr>
      <w:rFonts w:ascii="Times New Roman" w:hAnsi="Times New Roman" w:eastAsia="Times New Roman" w:cs="Times New Roman"/>
      <w:i/>
      <w:sz w:val="28"/>
      <w:szCs w:val="20"/>
    </w:rPr>
  </w:style>
  <w:style w:type="character" w:styleId="22">
    <w:name w:val="Основной текст с отступом 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31">
    <w:name w:val="Основной текст с отступом 3 Знак"/>
    <w:qFormat/>
    <w:rPr>
      <w:rFonts w:ascii="Times New Roman" w:hAnsi="Times New Roman" w:eastAsia="Times New Roman" w:cs="Times New Roman"/>
      <w:i/>
      <w:sz w:val="26"/>
      <w:szCs w:val="26"/>
    </w:rPr>
  </w:style>
  <w:style w:type="character" w:styleId="Style17">
    <w:name w:val="Название Знак"/>
    <w:qFormat/>
    <w:rPr>
      <w:rFonts w:ascii="Times New Roman" w:hAnsi="Times New Roman" w:eastAsia="Times New Roman" w:cs="Times New Roman"/>
      <w:b/>
      <w:smallCaps/>
      <w:sz w:val="32"/>
      <w:szCs w:val="20"/>
    </w:rPr>
  </w:style>
  <w:style w:type="character" w:styleId="Style18">
    <w:name w:val="Знак примечания"/>
    <w:qFormat/>
    <w:rPr>
      <w:sz w:val="16"/>
      <w:szCs w:val="16"/>
    </w:rPr>
  </w:style>
  <w:style w:type="character" w:styleId="2-2">
    <w:name w:val="Средняя сетка 2 - Акцент 2 Знак"/>
    <w:qFormat/>
    <w:rPr>
      <w:rFonts w:ascii="Times New Roman" w:hAnsi="Times New Roman" w:eastAsia="Times New Roman" w:cs="Times New Roman"/>
      <w:i/>
      <w:iCs/>
      <w:color w:val="000000"/>
      <w:sz w:val="28"/>
      <w:szCs w:val="20"/>
    </w:rPr>
  </w:style>
  <w:style w:type="character" w:styleId="Style19">
    <w:name w:val="Основной текст_"/>
    <w:qFormat/>
    <w:rPr>
      <w:rFonts w:ascii="Times New Roman" w:hAnsi="Times New Roman" w:eastAsia="Times New Roman" w:cs="Times New Roman"/>
      <w:sz w:val="23"/>
      <w:szCs w:val="23"/>
      <w:shd w:fill="FFFFFF" w:val="clear"/>
    </w:rPr>
  </w:style>
  <w:style w:type="character" w:styleId="23">
    <w:name w:val="Цитата 2 Знак"/>
    <w:qFormat/>
    <w:rPr>
      <w:i/>
      <w:iCs/>
      <w:color w:val="000000"/>
      <w:sz w:val="28"/>
    </w:rPr>
  </w:style>
  <w:style w:type="character" w:styleId="Style20">
    <w:name w:val="Подподпункт Знак"/>
    <w:qFormat/>
    <w:rPr>
      <w:sz w:val="28"/>
    </w:rPr>
  </w:style>
  <w:style w:type="character" w:styleId="Style21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11">
    <w:name w:val="Заголовок Знак1"/>
    <w:qFormat/>
    <w:rPr>
      <w:b/>
      <w:smallCaps/>
      <w:sz w:val="32"/>
    </w:rPr>
  </w:style>
  <w:style w:type="character" w:styleId="12">
    <w:name w:val="Стиль1 Знак"/>
    <w:qFormat/>
    <w:rPr>
      <w:sz w:val="24"/>
      <w:szCs w:val="24"/>
    </w:rPr>
  </w:style>
  <w:style w:type="character" w:styleId="Style22">
    <w:name w:val="Замещающий текст"/>
    <w:qFormat/>
    <w:rPr>
      <w:color w:val="808080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708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708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10195" w:leader="dot"/>
      </w:tabs>
      <w:spacing w:before="120" w:after="0"/>
      <w:ind w:hanging="0" w:start="-142" w:end="0"/>
      <w:jc w:val="start"/>
    </w:pPr>
    <w:rPr>
      <w:b/>
      <w:bCs/>
      <w:i/>
      <w:sz w:val="24"/>
      <w:szCs w:val="24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5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6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7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708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8">
    <w:name w:val="Главы"/>
    <w:basedOn w:val="Style27"/>
    <w:next w:val="Normal"/>
    <w:qFormat/>
    <w:p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9">
    <w:name w:val="Служебный"/>
    <w:basedOn w:val="Style28"/>
    <w:qFormat/>
    <w:pPr/>
    <w:rPr/>
  </w:style>
  <w:style w:type="paragraph" w:styleId="Style30">
    <w:name w:val="маркированный"/>
    <w:basedOn w:val="Normal"/>
    <w:qFormat/>
    <w:pPr>
      <w:ind w:hanging="0" w:start="0" w:end="0"/>
    </w:pPr>
    <w:rPr/>
  </w:style>
  <w:style w:type="paragraph" w:styleId="Style31">
    <w:name w:val="Пункт"/>
    <w:basedOn w:val="Normal"/>
    <w:qFormat/>
    <w:pPr>
      <w:numPr>
        <w:ilvl w:val="0"/>
        <w:numId w:val="10"/>
      </w:numPr>
    </w:pPr>
    <w:rPr/>
  </w:style>
  <w:style w:type="paragraph" w:styleId="Style32">
    <w:name w:val="Подпункт"/>
    <w:basedOn w:val="Normal"/>
    <w:qFormat/>
    <w:pPr>
      <w:tabs>
        <w:tab w:val="clear" w:pos="708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1"/>
    <w:qFormat/>
    <w:pPr>
      <w:keepNext w:val="true"/>
      <w:numPr>
        <w:ilvl w:val="0"/>
        <w:numId w:val="10"/>
      </w:numPr>
      <w:tabs>
        <w:tab w:val="clear" w:pos="708"/>
        <w:tab w:val="left" w:pos="1134" w:leader="none"/>
      </w:tabs>
      <w:ind w:hanging="1134" w:start="1134" w:end="0"/>
      <w:outlineLvl w:val="2"/>
    </w:pPr>
    <w:rPr>
      <w:b/>
    </w:rPr>
  </w:style>
  <w:style w:type="paragraph" w:styleId="Style33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34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5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6">
    <w:name w:val="Пункт б/н"/>
    <w:basedOn w:val="Normal"/>
    <w:qFormat/>
    <w:pPr>
      <w:tabs>
        <w:tab w:val="clear" w:pos="708"/>
        <w:tab w:val="left" w:pos="1134" w:leader="none"/>
      </w:tabs>
    </w:pPr>
    <w:rPr/>
  </w:style>
  <w:style w:type="paragraph" w:styleId="Style37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9">
    <w:name w:val="Текст примечания"/>
    <w:basedOn w:val="Normal"/>
    <w:qFormat/>
    <w:pPr/>
    <w:rPr>
      <w:sz w:val="20"/>
    </w:rPr>
  </w:style>
  <w:style w:type="paragraph" w:styleId="Style40">
    <w:name w:val="Тема примечания"/>
    <w:basedOn w:val="Style39"/>
    <w:next w:val="Style39"/>
    <w:qFormat/>
    <w:pPr/>
    <w:rPr>
      <w:b/>
      <w:bCs/>
    </w:rPr>
  </w:style>
  <w:style w:type="paragraph" w:styleId="32">
    <w:name w:val="Маркированный список 3"/>
    <w:basedOn w:val="Normal"/>
    <w:qFormat/>
    <w:pPr>
      <w:tabs>
        <w:tab w:val="clear" w:pos="708"/>
        <w:tab w:val="left" w:pos="1080" w:leader="none"/>
        <w:tab w:val="left" w:pos="143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4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5">
    <w:name w:val="Основной текст 2"/>
    <w:basedOn w:val="Normal"/>
    <w:qFormat/>
    <w:pPr>
      <w:tabs>
        <w:tab w:val="clear" w:pos="708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6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3">
    <w:name w:val="Стиль Заголовок 1 + по ширине"/>
    <w:basedOn w:val="Heading1"/>
    <w:qFormat/>
    <w:pPr>
      <w:pageBreakBefore w:val="false"/>
      <w:numPr>
        <w:ilvl w:val="0"/>
        <w:numId w:val="9"/>
      </w:numPr>
      <w:jc w:val="both"/>
    </w:pPr>
    <w:rPr>
      <w:bCs/>
    </w:rPr>
  </w:style>
  <w:style w:type="paragraph" w:styleId="33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1">
    <w:name w:val="Обычный+ без отступа"/>
    <w:basedOn w:val="Normal"/>
    <w:qFormat/>
    <w:pPr>
      <w:numPr>
        <w:ilvl w:val="0"/>
        <w:numId w:val="2"/>
      </w:numPr>
      <w:tabs>
        <w:tab w:val="clear" w:pos="708"/>
      </w:tabs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42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3">
    <w:name w:val="Подподподпункт"/>
    <w:basedOn w:val="Normal"/>
    <w:qFormat/>
    <w:pPr>
      <w:tabs>
        <w:tab w:val="clear" w:pos="708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4">
    <w:name w:val="Пункт1"/>
    <w:basedOn w:val="Normal"/>
    <w:qFormat/>
    <w:pPr>
      <w:numPr>
        <w:ilvl w:val="0"/>
        <w:numId w:val="11"/>
      </w:numPr>
      <w:tabs>
        <w:tab w:val="clear" w:pos="708"/>
        <w:tab w:val="left" w:pos="567" w:leader="none"/>
      </w:tabs>
      <w:spacing w:before="240" w:after="0"/>
      <w:ind w:hanging="567" w:start="567" w:end="0"/>
      <w:jc w:val="center"/>
    </w:pPr>
    <w:rPr>
      <w:rFonts w:ascii="Arial" w:hAnsi="Arial" w:cs="Arial"/>
      <w:b/>
      <w:szCs w:val="28"/>
    </w:rPr>
  </w:style>
  <w:style w:type="paragraph" w:styleId="34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4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Style45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-21">
    <w:name w:val="Средний список 2 - Акцент 2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6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cs="Cambria"/>
      <w:bCs/>
      <w:color w:val="365F91"/>
      <w:kern w:val="0"/>
      <w:sz w:val="28"/>
      <w:szCs w:val="28"/>
    </w:rPr>
  </w:style>
  <w:style w:type="paragraph" w:styleId="2-22">
    <w:name w:val="Средняя сетка 2 - Акцент 2"/>
    <w:basedOn w:val="Normal"/>
    <w:next w:val="Normal"/>
    <w:qFormat/>
    <w:pPr/>
    <w:rPr>
      <w:i/>
      <w:iCs/>
      <w:color w:val="000000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1-2">
    <w:name w:val="Средняя сетка 1 - Акцент 2"/>
    <w:basedOn w:val="Normal"/>
    <w:qFormat/>
    <w:pPr>
      <w:spacing w:before="0" w:after="0"/>
      <w:ind w:firstLine="567" w:start="720" w:end="0"/>
      <w:contextualSpacing/>
    </w:pPr>
    <w:rPr/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35">
    <w:name w:val="Основной текст3"/>
    <w:basedOn w:val="Normal"/>
    <w:qFormat/>
    <w:pPr>
      <w:widowControl w:val="false"/>
      <w:shd w:fill="FFFFFF" w:val="clear"/>
      <w:spacing w:lineRule="atLeast" w:line="0" w:before="0" w:after="120"/>
      <w:ind w:hanging="4780" w:start="0" w:end="0"/>
      <w:jc w:val="start"/>
    </w:pPr>
    <w:rPr>
      <w:sz w:val="23"/>
      <w:szCs w:val="23"/>
    </w:rPr>
  </w:style>
  <w:style w:type="paragraph" w:styleId="36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5"/>
      </w:numPr>
      <w:suppressAutoHyphens w:val="true"/>
      <w:bidi w:val="0"/>
      <w:spacing w:before="240" w:after="0"/>
      <w:outlineLvl w:val="2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27">
    <w:name w:val="[Ростех] Наименование Раздела (Уровень 2)"/>
    <w:qFormat/>
    <w:pPr>
      <w:keepNext w:val="true"/>
      <w:keepLines/>
      <w:widowControl/>
      <w:numPr>
        <w:ilvl w:val="0"/>
        <w:numId w:val="5"/>
      </w:numPr>
      <w:suppressAutoHyphens w:val="true"/>
      <w:bidi w:val="0"/>
      <w:spacing w:before="240" w:after="0"/>
      <w:jc w:val="center"/>
      <w:outlineLvl w:val="1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Style47">
    <w:name w:val="[Ростех] Простой текст (Без уровня)"/>
    <w:qFormat/>
    <w:pPr>
      <w:widowControl/>
      <w:numPr>
        <w:ilvl w:val="0"/>
        <w:numId w:val="5"/>
      </w:numPr>
      <w:suppressAutoHyphens w:val="true"/>
      <w:bidi w:val="0"/>
      <w:spacing w:before="120" w:after="0"/>
      <w:jc w:val="both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51">
    <w:name w:val="[Ростех] Текст Подпункта (Уровень 5)"/>
    <w:qFormat/>
    <w:pPr>
      <w:widowControl/>
      <w:numPr>
        <w:ilvl w:val="0"/>
        <w:numId w:val="5"/>
      </w:numPr>
      <w:suppressAutoHyphens w:val="true"/>
      <w:bidi w:val="0"/>
      <w:spacing w:before="120" w:after="0"/>
      <w:jc w:val="both"/>
      <w:outlineLvl w:val="4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61">
    <w:name w:val="[Ростех] Текст Подпункта подпункта (Уровень 6)"/>
    <w:qFormat/>
    <w:pPr>
      <w:widowControl/>
      <w:numPr>
        <w:ilvl w:val="0"/>
        <w:numId w:val="5"/>
      </w:numPr>
      <w:suppressAutoHyphens w:val="true"/>
      <w:bidi w:val="0"/>
      <w:spacing w:before="120" w:after="0"/>
      <w:jc w:val="both"/>
      <w:outlineLvl w:val="5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Style48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49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50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8">
    <w:name w:val="Цитата 2"/>
    <w:basedOn w:val="Normal"/>
    <w:next w:val="Normal"/>
    <w:qFormat/>
    <w:pPr/>
    <w:rPr>
      <w:i/>
      <w:iCs/>
      <w:color w:val="000000"/>
    </w:rPr>
  </w:style>
  <w:style w:type="paragraph" w:styleId="15">
    <w:name w:val="Текст 1"/>
    <w:basedOn w:val="Heading2"/>
    <w:qFormat/>
    <w:pPr>
      <w:keepNext w:val="false"/>
      <w:widowControl w:val="false"/>
      <w:numPr>
        <w:ilvl w:val="0"/>
        <w:numId w:val="8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Style51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52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Tableheader">
    <w:name w:val="Table_header"/>
    <w:basedOn w:val="Normal"/>
    <w:qFormat/>
    <w:pPr>
      <w:spacing w:lineRule="auto" w:line="240" w:before="120" w:after="0"/>
      <w:ind w:hanging="0" w:start="0" w:end="0"/>
    </w:pPr>
    <w:rPr>
      <w:b/>
      <w:sz w:val="20"/>
      <w:szCs w:val="24"/>
    </w:rPr>
  </w:style>
  <w:style w:type="paragraph" w:styleId="16">
    <w:name w:val="Стиль1"/>
    <w:basedOn w:val="Style34"/>
    <w:qFormat/>
    <w:pPr>
      <w:tabs>
        <w:tab w:val="clear" w:pos="708"/>
        <w:tab w:val="left" w:pos="567" w:leader="none"/>
      </w:tabs>
      <w:spacing w:lineRule="auto" w:line="240" w:before="0" w:after="0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5032" w:leader="none"/>
        <w:tab w:val="right" w:pos="1006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2025-10-27T00:08:00Z</dcterms:created>
  <dc:creator>ИнКонТех</dc:creator>
  <dc:description/>
  <cp:keywords/>
  <dc:language>en-US</dc:language>
  <cp:lastModifiedBy>Слипченко Павел Эдуардович</cp:lastModifiedBy>
  <cp:lastPrinted>2021-05-20T09:15:00Z</cp:lastPrinted>
  <dcterms:modified xsi:type="dcterms:W3CDTF">2025-11-27T23:02:00Z</dcterms:modified>
  <cp:revision>9</cp:revision>
  <dc:subject/>
  <dc:title>Вспомогательные документы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r8>0</vt:r8>
  </property>
</Properties>
</file>