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jc w:val="center"/>
        <w:outlineLvl w:val="1"/>
        <w:rPr>
          <w:b/>
          <w:bCs/>
          <w:kern w:val="2"/>
          <w:sz w:val="20"/>
          <w:szCs w:val="20"/>
        </w:rPr>
      </w:pPr>
      <w:r>
        <w:rPr>
          <w:b/>
          <w:bCs/>
          <w:kern w:val="2"/>
          <w:sz w:val="20"/>
          <w:szCs w:val="20"/>
        </w:rPr>
        <w:t>Протокол №</w:t>
      </w:r>
      <w:r>
        <w:rPr>
          <w:b/>
          <w:sz w:val="20"/>
          <w:szCs w:val="20"/>
        </w:rPr>
        <w:t xml:space="preserve"> 23/25-ЭА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bCs/>
          <w:sz w:val="20"/>
          <w:szCs w:val="20"/>
        </w:rPr>
      </w:pPr>
      <w:r>
        <w:rPr>
          <w:b/>
          <w:bCs/>
          <w:kern w:val="2"/>
          <w:sz w:val="20"/>
          <w:szCs w:val="20"/>
        </w:rPr>
        <w:t>рассмотрения вторых</w:t>
      </w:r>
      <w:r>
        <w:rPr>
          <w:b/>
          <w:bCs/>
          <w:sz w:val="20"/>
          <w:szCs w:val="20"/>
        </w:rPr>
        <w:t xml:space="preserve"> частей заявок на участие в электронном аукционе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105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7"/>
        <w:gridCol w:w="5778"/>
      </w:tblGrid>
      <w:tr>
        <w:trPr>
          <w:trHeight w:val="365" w:hRule="atLeast"/>
        </w:trPr>
        <w:tc>
          <w:tcPr>
            <w:tcW w:w="4757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«03» марта 2025 года.</w:t>
            </w:r>
          </w:p>
        </w:tc>
        <w:tc>
          <w:tcPr>
            <w:tcW w:w="5778" w:type="dxa"/>
            <w:tcBorders/>
          </w:tcPr>
          <w:p>
            <w:pPr>
              <w:pStyle w:val="Normal"/>
              <w:jc w:val="end"/>
              <w:rPr/>
            </w:pPr>
            <w:r>
              <w:rPr>
                <w:sz w:val="20"/>
                <w:szCs w:val="20"/>
              </w:rPr>
              <w:t xml:space="preserve">                                  </w:t>
            </w:r>
            <w:r>
              <w:rPr>
                <w:sz w:val="20"/>
                <w:szCs w:val="20"/>
              </w:rPr>
              <w:t>г. Салехард</w:t>
            </w:r>
          </w:p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>
          <w:bCs/>
          <w:sz w:val="20"/>
          <w:szCs w:val="20"/>
        </w:rPr>
        <w:t xml:space="preserve">Наименование закупки: </w:t>
      </w:r>
      <w:r>
        <w:rPr>
          <w:rStyle w:val="FontStyle45"/>
          <w:b w:val="false"/>
          <w:sz w:val="20"/>
          <w:szCs w:val="20"/>
        </w:rPr>
        <w:t xml:space="preserve">Выполнение работ по </w:t>
      </w:r>
      <w:r>
        <w:rPr>
          <w:sz w:val="20"/>
          <w:szCs w:val="20"/>
          <w:lang w:eastAsia="en-US"/>
        </w:rPr>
        <w:t xml:space="preserve">переоборудованию системы управления сетевыми насосами теплового пункта (инв.№00009964)  ТЭС-14 МВт. </w:t>
      </w:r>
    </w:p>
    <w:p>
      <w:pPr>
        <w:pStyle w:val="Normal"/>
        <w:rPr>
          <w:bCs/>
          <w:sz w:val="20"/>
          <w:szCs w:val="20"/>
        </w:rPr>
      </w:pPr>
      <w:r>
        <w:rPr>
          <w:bCs/>
          <w:sz w:val="20"/>
          <w:szCs w:val="20"/>
        </w:rPr>
        <w:t>Идентификационный код закупки – 3361476 </w:t>
      </w:r>
      <w:r>
        <w:rPr>
          <w:sz w:val="20"/>
          <w:szCs w:val="20"/>
        </w:rPr>
        <w:t>№ в ЕИС: 32514495079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Начальная (максимальная) цена договора (с учетом НДС 20%): 11 340 000,00 (одиннадцать миллионов триста сорок тысяч) рублей 00 копеек. </w:t>
      </w:r>
    </w:p>
    <w:p>
      <w:pPr>
        <w:pStyle w:val="Normal"/>
        <w:jc w:val="both"/>
        <w:rPr>
          <w:rStyle w:val="FontStyle45"/>
          <w:bCs w:val="false"/>
          <w:sz w:val="20"/>
          <w:szCs w:val="20"/>
        </w:rPr>
      </w:pPr>
      <w:r>
        <w:rPr>
          <w:rStyle w:val="FontStyle45"/>
          <w:bCs w:val="false"/>
          <w:sz w:val="20"/>
          <w:szCs w:val="20"/>
        </w:rPr>
        <w:tab/>
      </w:r>
    </w:p>
    <w:p>
      <w:pPr>
        <w:pStyle w:val="Heading3"/>
        <w:numPr>
          <w:ilvl w:val="0"/>
          <w:numId w:val="2"/>
        </w:numPr>
        <w:spacing w:before="0" w:after="0"/>
        <w:ind w:hanging="0" w:start="0" w:end="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Сведения о членах комиссии, принявших решение:</w:t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4819"/>
      </w:tblGrid>
      <w:tr>
        <w:trPr>
          <w:trHeight w:val="304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 комиссии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А.М. Снытко</w:t>
            </w:r>
          </w:p>
        </w:tc>
      </w:tr>
      <w:tr>
        <w:trPr>
          <w:trHeight w:val="255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Секретарь комиссии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А.В. Андриенко</w:t>
            </w:r>
          </w:p>
        </w:tc>
      </w:tr>
      <w:tr>
        <w:trPr>
          <w:trHeight w:val="275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Члены комиссии: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В.А. Бакиев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2"/>
        </w:numPr>
        <w:ind w:hanging="0" w:start="0" w:end="0"/>
        <w:rPr>
          <w:sz w:val="20"/>
          <w:szCs w:val="20"/>
        </w:rPr>
      </w:pPr>
      <w:r>
        <w:rPr>
          <w:sz w:val="20"/>
          <w:szCs w:val="20"/>
        </w:rPr>
        <w:t>По результатам проведения электронного аукциона определение победителя осуществляется по заявкам следующих участников аукциона.</w:t>
      </w:r>
    </w:p>
    <w:tbl>
      <w:tblPr>
        <w:tblpPr w:vertAnchor="text" w:horzAnchor="margin" w:rightFromText="180" w:tblpX="5" w:tblpY="76"/>
        <w:tblW w:w="1045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1"/>
        <w:gridCol w:w="2598"/>
        <w:gridCol w:w="6237"/>
      </w:tblGrid>
      <w:tr>
        <w:trPr/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Порядковый номер заявки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участника закупки</w:t>
            </w:r>
          </w:p>
        </w:tc>
      </w:tr>
      <w:tr>
        <w:trPr>
          <w:trHeight w:val="266" w:hRule="atLeast"/>
        </w:trPr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18.02.2025 08:36 (МСК)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ИП ФЕДОСЕЕВ АЛЕКСАНДР ВЛАДИМИРОВИЧ</w:t>
            </w:r>
          </w:p>
        </w:tc>
      </w:tr>
      <w:tr>
        <w:trPr>
          <w:trHeight w:val="266" w:hRule="atLeast"/>
        </w:trPr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25.02.2025 13:05 (МСК)</w:t>
            </w:r>
          </w:p>
        </w:tc>
        <w:tc>
          <w:tcPr>
            <w:tcW w:w="6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"АЛЬЯНС СТРОЙСНАБ"</w:t>
            </w:r>
          </w:p>
        </w:tc>
      </w:tr>
    </w:tbl>
    <w:p>
      <w:pPr>
        <w:pStyle w:val="Normal"/>
        <w:numPr>
          <w:ilvl w:val="0"/>
          <w:numId w:val="0"/>
        </w:numPr>
        <w:autoSpaceDE w:val="false"/>
        <w:ind w:start="360" w:end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2"/>
        </w:numPr>
        <w:autoSpaceDE w:val="false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Результаты рассмотрения вторых частей заявок: </w:t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36"/>
        <w:gridCol w:w="5812"/>
      </w:tblGrid>
      <w:tr>
        <w:trPr>
          <w:trHeight w:val="321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Порядковый номер заявки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autoSpaceDE w:val="false"/>
              <w:jc w:val="both"/>
              <w:outlineLvl w:val="1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</w:tr>
      <w:tr>
        <w:trPr>
          <w:trHeight w:val="321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autoSpaceDE w:val="false"/>
              <w:jc w:val="both"/>
              <w:outlineLvl w:val="1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18.02.2025 08:36 (МСК)</w:t>
            </w:r>
          </w:p>
        </w:tc>
      </w:tr>
      <w:tr>
        <w:trPr>
          <w:trHeight w:val="321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Состав и содержание второй части заявки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autoSpaceDE w:val="false"/>
              <w:jc w:val="both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соответствует требованиям аукционной документации:</w:t>
            </w:r>
          </w:p>
          <w:p>
            <w:pPr>
              <w:pStyle w:val="Style23"/>
              <w:suppressAutoHyphens w:val="false"/>
              <w:spacing w:lineRule="auto" w:line="240" w:before="0" w:after="0"/>
              <w:ind w:start="0" w:end="0"/>
              <w:contextualSpacing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- не</w:t>
            </w:r>
            <w:r>
              <w:rPr>
                <w:rFonts w:cs="Times New Roman" w:ascii="Times New Roman" w:hAns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предоставление в составе второй части заявки на участие в аукционе  документов и сведений, предусмотренных аукционной документацией, а именно </w:t>
            </w:r>
            <w:r>
              <w:rPr>
                <w:rFonts w:cs="Times New Roman" w:ascii="Times New Roman" w:hAnsi="Times New Roman"/>
                <w:sz w:val="20"/>
                <w:szCs w:val="20"/>
                <w:lang w:val="ru-RU"/>
              </w:rPr>
              <w:t>(отсутствие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предоставление копий </w:t>
            </w:r>
            <w:r>
              <w:rPr>
                <w:rFonts w:cs="Times New Roman" w:ascii="Times New Roman" w:hAnsi="Times New Roman"/>
                <w:sz w:val="20"/>
                <w:szCs w:val="20"/>
                <w:lang w:val="ru-RU"/>
              </w:rPr>
              <w:t>протокола о проверке знаний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).</w:t>
            </w:r>
          </w:p>
        </w:tc>
      </w:tr>
      <w:tr>
        <w:trPr>
          <w:trHeight w:val="321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Порядковый номер заявки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autoSpaceDE w:val="false"/>
              <w:jc w:val="both"/>
              <w:outlineLvl w:val="1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autoSpaceDE w:val="false"/>
              <w:jc w:val="both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25.02.2025 13:05 (МСК)</w:t>
            </w:r>
          </w:p>
        </w:tc>
      </w:tr>
      <w:tr>
        <w:trPr>
          <w:trHeight w:val="321" w:hRule="atLeast"/>
        </w:trPr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Состав и содержание второй части заявки</w:t>
            </w:r>
          </w:p>
        </w:tc>
        <w:tc>
          <w:tcPr>
            <w:tcW w:w="5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autoSpaceDE w:val="false"/>
              <w:jc w:val="both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соответствует требованиям аукционной документации:</w:t>
            </w:r>
          </w:p>
          <w:p>
            <w:pPr>
              <w:pStyle w:val="Normal"/>
              <w:numPr>
                <w:ilvl w:val="0"/>
                <w:numId w:val="0"/>
              </w:numPr>
              <w:autoSpaceDE w:val="false"/>
              <w:jc w:val="both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не предоставление в составе второй части заявки на участие в аукционе  документов и сведений, предусмотренных аукционной документацией, а именно (отсутствие предоставление копий протокола о проверке знаний).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2"/>
        </w:numPr>
        <w:ind w:hanging="0" w:start="0" w:end="0"/>
        <w:rPr>
          <w:sz w:val="20"/>
          <w:szCs w:val="20"/>
        </w:rPr>
      </w:pPr>
      <w:r>
        <w:rPr>
          <w:sz w:val="20"/>
          <w:szCs w:val="20"/>
        </w:rPr>
        <w:t>Сведения об итоговых позициях участников, заявки, на участие которых были признаны соответствующими требованиям, предъявляемым к участникам аукциона:</w:t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6"/>
        <w:gridCol w:w="3827"/>
        <w:gridCol w:w="1701"/>
        <w:gridCol w:w="1560"/>
        <w:gridCol w:w="1984"/>
      </w:tblGrid>
      <w:tr>
        <w:trPr>
          <w:trHeight w:val="875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Итоговая позиция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участника закупки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Лучшее ценовое предложение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(без НДС)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Порядковый номер заявки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</w:t>
            </w:r>
          </w:p>
        </w:tc>
      </w:tr>
      <w:tr>
        <w:trPr>
          <w:trHeight w:val="434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</w:p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</w:p>
        </w:tc>
      </w:tr>
    </w:tbl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2"/>
        </w:numPr>
        <w:ind w:hanging="0" w:start="0" w:end="0"/>
        <w:jc w:val="both"/>
        <w:rPr>
          <w:sz w:val="20"/>
          <w:szCs w:val="20"/>
        </w:rPr>
      </w:pPr>
      <w:r>
        <w:rPr>
          <w:sz w:val="20"/>
          <w:szCs w:val="20"/>
        </w:rPr>
        <w:t>По результатам рассмотрения вторых частей заявок на участие в электронном</w:t>
      </w:r>
      <w:r>
        <w:rPr>
          <w:sz w:val="20"/>
          <w:szCs w:val="20"/>
          <w:shd w:fill="FFFFFF" w:val="clear"/>
        </w:rPr>
        <w:t xml:space="preserve"> аукционе комиссия</w:t>
      </w:r>
      <w:r>
        <w:rPr>
          <w:sz w:val="20"/>
          <w:szCs w:val="20"/>
          <w:shd w:fill="FFFFFF" w:val="clear"/>
        </w:rPr>
        <w:t xml:space="preserve"> приняла решение </w:t>
      </w:r>
      <w:r>
        <w:rPr>
          <w:rStyle w:val="Strong"/>
          <w:b w:val="false"/>
          <w:sz w:val="20"/>
          <w:szCs w:val="20"/>
          <w:shd w:fill="FFFFFF" w:val="clear"/>
        </w:rPr>
        <w:t xml:space="preserve">о </w:t>
      </w:r>
      <w:r>
        <w:rPr>
          <w:bCs/>
          <w:sz w:val="20"/>
          <w:szCs w:val="20"/>
        </w:rPr>
        <w:t xml:space="preserve">признании </w:t>
      </w:r>
      <w:r>
        <w:rPr>
          <w:sz w:val="20"/>
          <w:szCs w:val="20"/>
        </w:rPr>
        <w:t>закупки несостоявшейся т.к., комиссией по проведению закупок принято решение о признании всех заявок не соответствующими требованиям документации о закупке</w:t>
      </w:r>
      <w:r>
        <w:rPr>
          <w:bCs/>
          <w:sz w:val="20"/>
          <w:szCs w:val="20"/>
        </w:rPr>
        <w:t>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0"/>
        </w:numPr>
        <w:outlineLvl w:val="2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center" w:pos="5244" w:leader="none"/>
        </w:tabs>
        <w:outlineLvl w:val="2"/>
        <w:rPr/>
      </w:pPr>
      <w:r>
        <w:rPr/>
        <w:t>Подписи членов комиссии:</w:t>
      </w:r>
    </w:p>
    <w:tbl>
      <w:tblPr>
        <w:tblW w:w="6150" w:type="pct"/>
        <w:jc w:val="start"/>
        <w:tblInd w:w="0" w:type="dxa"/>
        <w:tblLayout w:type="fixed"/>
        <w:tblCellMar>
          <w:top w:w="75" w:type="dxa"/>
          <w:start w:w="75" w:type="dxa"/>
          <w:bottom w:w="75" w:type="dxa"/>
          <w:end w:w="450" w:type="dxa"/>
        </w:tblCellMar>
      </w:tblPr>
      <w:tblGrid>
        <w:gridCol w:w="12673"/>
        <w:gridCol w:w="53"/>
      </w:tblGrid>
      <w:tr>
        <w:trPr>
          <w:trHeight w:val="23" w:hRule="atLeast"/>
        </w:trPr>
        <w:tc>
          <w:tcPr>
            <w:tcW w:w="12673" w:type="dxa"/>
            <w:tcBorders/>
          </w:tcPr>
          <w:tbl>
            <w:tblPr>
              <w:tblW w:w="4150" w:type="pct"/>
              <w:jc w:val="start"/>
              <w:tblInd w:w="75" w:type="dxa"/>
              <w:tblLayout w:type="fixed"/>
              <w:tblCellMar>
                <w:top w:w="75" w:type="dxa"/>
                <w:start w:w="75" w:type="dxa"/>
                <w:bottom w:w="75" w:type="dxa"/>
                <w:end w:w="450" w:type="dxa"/>
              </w:tblCellMar>
            </w:tblPr>
            <w:tblGrid>
              <w:gridCol w:w="4767"/>
              <w:gridCol w:w="5315"/>
            </w:tblGrid>
            <w:tr>
              <w:trPr>
                <w:trHeight w:val="275" w:hRule="atLeast"/>
              </w:trPr>
              <w:tc>
                <w:tcPr>
                  <w:tcW w:w="4767" w:type="dxa"/>
                  <w:tcBorders/>
                </w:tcPr>
                <w:p>
                  <w:pPr>
                    <w:pStyle w:val="Normal"/>
                    <w:snapToGrid w:val="false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  <w:tc>
                <w:tcPr>
                  <w:tcW w:w="5315" w:type="dxa"/>
                  <w:tcBorders/>
                  <w:tcMar>
                    <w:top w:w="15" w:type="dxa"/>
                    <w:start w:w="15" w:type="dxa"/>
                    <w:bottom w:w="15" w:type="dxa"/>
                    <w:end w:w="15" w:type="dxa"/>
                  </w:tcMar>
                </w:tcPr>
                <w:p>
                  <w:pPr>
                    <w:pStyle w:val="Normal"/>
                    <w:ind w:start="-492" w:end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                           </w:t>
                  </w:r>
                  <w:r>
                    <w:rPr>
                      <w:sz w:val="20"/>
                      <w:szCs w:val="20"/>
                    </w:rPr>
                    <w:t>___________________________/ А.М. Снытко /</w:t>
                  </w:r>
                </w:p>
              </w:tc>
            </w:tr>
            <w:tr>
              <w:trPr>
                <w:trHeight w:val="287" w:hRule="atLeast"/>
              </w:trPr>
              <w:tc>
                <w:tcPr>
                  <w:tcW w:w="4767" w:type="dxa"/>
                  <w:tcBorders/>
                </w:tcPr>
                <w:p>
                  <w:pPr>
                    <w:pStyle w:val="Normal"/>
                    <w:snapToGrid w:val="false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  <w:tc>
                <w:tcPr>
                  <w:tcW w:w="5315" w:type="dxa"/>
                  <w:tcBorders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pStyle w:val="Normal"/>
                    <w:numPr>
                      <w:ilvl w:val="0"/>
                      <w:numId w:val="0"/>
                    </w:numPr>
                    <w:autoSpaceDE w:val="false"/>
                    <w:ind w:start="-492" w:end="0"/>
                    <w:jc w:val="both"/>
                    <w:outlineLvl w:val="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                                </w:t>
                  </w:r>
                  <w:r>
                    <w:rPr>
                      <w:sz w:val="20"/>
                      <w:szCs w:val="20"/>
                    </w:rPr>
                    <w:t xml:space="preserve">_______________________/ А.В. Андриенко / </w:t>
                  </w:r>
                </w:p>
              </w:tc>
            </w:tr>
            <w:tr>
              <w:trPr>
                <w:trHeight w:val="466" w:hRule="atLeast"/>
              </w:trPr>
              <w:tc>
                <w:tcPr>
                  <w:tcW w:w="4767" w:type="dxa"/>
                  <w:tcBorders/>
                </w:tcPr>
                <w:p>
                  <w:pPr>
                    <w:pStyle w:val="Normal"/>
                    <w:snapToGrid w:val="false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  <w:tc>
                <w:tcPr>
                  <w:tcW w:w="5315" w:type="dxa"/>
                  <w:tcBorders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pStyle w:val="Normal"/>
                    <w:ind w:start="-492" w:end="0"/>
                    <w:rPr/>
                  </w:pPr>
                  <w:r>
                    <w:rPr>
                      <w:sz w:val="20"/>
                      <w:szCs w:val="20"/>
                    </w:rPr>
                    <w:t xml:space="preserve">                                   </w:t>
                  </w:r>
                  <w:r>
                    <w:rPr>
                      <w:sz w:val="20"/>
                      <w:szCs w:val="20"/>
                    </w:rPr>
                    <w:t xml:space="preserve">___________________________/ В.А. Бакиев / </w:t>
                  </w:r>
                </w:p>
                <w:p>
                  <w:pPr>
                    <w:pStyle w:val="Normal"/>
                    <w:ind w:start="-492" w:end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449" w:hRule="atLeast"/>
              </w:trPr>
              <w:tc>
                <w:tcPr>
                  <w:tcW w:w="10082" w:type="dxa"/>
                  <w:gridSpan w:val="2"/>
                  <w:tcBorders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Генеральный директор</w:t>
                  </w:r>
                </w:p>
                <w:p>
                  <w:pPr>
                    <w:pStyle w:val="Normal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АО «Салехардэнерго»                                                                                                                                               Е.В. Федотов</w:t>
                  </w:r>
                </w:p>
              </w:tc>
            </w:tr>
          </w:tbl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3" w:type="dxa"/>
            <w:tcBorders/>
            <w:tcMar>
              <w:top w:w="15" w:type="dxa"/>
              <w:start w:w="15" w:type="dxa"/>
              <w:bottom w:w="15" w:type="dxa"/>
              <w:end w:w="15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08"/>
          <w:tab w:val="left" w:pos="989" w:leader="none"/>
        </w:tabs>
        <w:rPr>
          <w:sz w:val="20"/>
          <w:szCs w:val="20"/>
        </w:rPr>
      </w:pPr>
      <w:r>
        <w:rPr>
          <w:sz w:val="20"/>
          <w:szCs w:val="20"/>
        </w:rPr>
      </w:r>
    </w:p>
    <w:sectPr>
      <w:footerReference w:type="default" r:id="rId2"/>
      <w:type w:val="nextPage"/>
      <w:pgSz w:w="11906" w:h="16838"/>
      <w:pgMar w:left="993" w:right="566" w:gutter="0" w:header="0" w:top="426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677" w:leader="none"/>
        <w:tab w:val="right" w:pos="9355" w:leader="none"/>
        <w:tab w:val="right" w:pos="10489" w:leader="none"/>
      </w:tabs>
      <w:rPr>
        <w:sz w:val="18"/>
        <w:szCs w:val="20"/>
      </w:rPr>
    </w:pPr>
    <w:r>
      <w:rPr>
        <w:sz w:val="18"/>
        <w:szCs w:val="20"/>
      </w:rPr>
      <w:t>Протокол №</w:t>
    </w:r>
    <w:r>
      <w:rPr>
        <w:sz w:val="18"/>
        <w:szCs w:val="20"/>
        <w:lang w:val="ru-RU"/>
      </w:rPr>
      <w:t xml:space="preserve"> 23/25</w:t>
    </w:r>
    <w:r>
      <w:rPr>
        <w:sz w:val="18"/>
        <w:szCs w:val="20"/>
      </w:rPr>
      <w:t>-ЭА от</w:t>
    </w:r>
    <w:r>
      <w:rPr>
        <w:sz w:val="18"/>
        <w:szCs w:val="20"/>
        <w:lang w:val="ru-RU"/>
      </w:rPr>
      <w:t xml:space="preserve"> 03</w:t>
    </w:r>
    <w:r>
      <w:rPr>
        <w:sz w:val="18"/>
        <w:szCs w:val="20"/>
      </w:rPr>
      <w:t>.</w:t>
    </w:r>
    <w:r>
      <w:rPr>
        <w:sz w:val="18"/>
        <w:szCs w:val="20"/>
        <w:lang w:val="ru-RU"/>
      </w:rPr>
      <w:t>03</w:t>
    </w:r>
    <w:r>
      <w:rPr>
        <w:sz w:val="18"/>
        <w:szCs w:val="20"/>
      </w:rPr>
      <w:t>.202</w:t>
    </w:r>
    <w:r>
      <w:rPr>
        <w:sz w:val="18"/>
        <w:szCs w:val="20"/>
        <w:lang w:val="ru-RU"/>
      </w:rPr>
      <w:t>5</w:t>
    </w:r>
    <w:r>
      <w:rPr>
        <w:sz w:val="18"/>
        <w:szCs w:val="20"/>
      </w:rPr>
      <w:t>г.</w:t>
      <w:tab/>
      <w:tab/>
      <w:tab/>
    </w:r>
    <w:r>
      <w:rPr>
        <w:sz w:val="18"/>
        <w:szCs w:val="20"/>
      </w:rPr>
      <w:fldChar w:fldCharType="begin"/>
    </w:r>
    <w:r>
      <w:rPr>
        <w:sz w:val="18"/>
        <w:szCs w:val="20"/>
      </w:rPr>
      <w:instrText xml:space="preserve"> PAGE </w:instrText>
    </w:r>
    <w:r>
      <w:rPr>
        <w:sz w:val="18"/>
        <w:szCs w:val="20"/>
      </w:rPr>
      <w:fldChar w:fldCharType="separate"/>
    </w:r>
    <w:r>
      <w:rPr>
        <w:sz w:val="18"/>
        <w:szCs w:val="20"/>
      </w:rPr>
      <w:t>2</w:t>
    </w:r>
    <w:r>
      <w:rPr>
        <w:sz w:val="18"/>
        <w:szCs w:val="20"/>
      </w:rPr>
      <w:fldChar w:fldCharType="end"/>
    </w:r>
  </w:p>
  <w:p>
    <w:pPr>
      <w:pStyle w:val="Footer"/>
      <w:ind w:end="360"/>
      <w:rPr>
        <w:sz w:val="18"/>
        <w:szCs w:val="20"/>
      </w:rPr>
    </w:pPr>
    <w:r>
      <w:rPr>
        <w:sz w:val="18"/>
        <w:szCs w:val="2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900"/>
        </w:tabs>
        <w:ind w:start="90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420"/>
        </w:tabs>
        <w:ind w:start="342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280" w:after="280"/>
      <w:outlineLvl w:val="2"/>
    </w:pPr>
    <w:rPr>
      <w:b/>
      <w:bCs/>
      <w:sz w:val="27"/>
      <w:szCs w:val="27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6z0">
    <w:name w:val="WW8Num6z0"/>
    <w:qFormat/>
    <w:rPr/>
  </w:style>
  <w:style w:type="character" w:styleId="Style13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3">
    <w:name w:val="Заголовок 3 Знак"/>
    <w:qFormat/>
    <w:rPr>
      <w:b/>
      <w:bCs/>
      <w:sz w:val="27"/>
      <w:szCs w:val="27"/>
      <w:lang w:val="ru-RU" w:bidi="ar-SA"/>
    </w:rPr>
  </w:style>
  <w:style w:type="character" w:styleId="PageNumber">
    <w:name w:val="page number"/>
    <w:basedOn w:val="Style13"/>
    <w:rPr/>
  </w:style>
  <w:style w:type="character" w:styleId="Style14">
    <w:name w:val="Текст выноски Знак"/>
    <w:qFormat/>
    <w:rPr>
      <w:rFonts w:ascii="Tahoma" w:hAnsi="Tahoma" w:cs="Tahoma"/>
      <w:sz w:val="16"/>
      <w:szCs w:val="16"/>
    </w:rPr>
  </w:style>
  <w:style w:type="character" w:styleId="FontStyle18">
    <w:name w:val="Font Style18"/>
    <w:qFormat/>
    <w:rPr>
      <w:rFonts w:ascii="Times New Roman" w:hAnsi="Times New Roman" w:cs="Times New Roman"/>
      <w:color w:val="000000"/>
      <w:sz w:val="18"/>
      <w:szCs w:val="18"/>
    </w:rPr>
  </w:style>
  <w:style w:type="character" w:styleId="notice-number">
    <w:name w:val="notice-number"/>
    <w:basedOn w:val="Style13"/>
    <w:qFormat/>
    <w:rPr/>
  </w:style>
  <w:style w:type="character" w:styleId="notice-number3">
    <w:name w:val="notice-number3"/>
    <w:basedOn w:val="Style13"/>
    <w:qFormat/>
    <w:rPr/>
  </w:style>
  <w:style w:type="character" w:styleId="Strong">
    <w:name w:val="Strong"/>
    <w:qFormat/>
    <w:rPr>
      <w:b/>
      <w:bCs/>
    </w:rPr>
  </w:style>
  <w:style w:type="character" w:styleId="Style15">
    <w:name w:val="Нижний колонтитул Знак"/>
    <w:qFormat/>
    <w:rPr>
      <w:sz w:val="24"/>
      <w:szCs w:val="24"/>
    </w:rPr>
  </w:style>
  <w:style w:type="character" w:styleId="Style16">
    <w:name w:val="Подзаголовок Знак"/>
    <w:qFormat/>
    <w:rPr>
      <w:rFonts w:ascii="Cambria" w:hAnsi="Cambria" w:eastAsia="Times New Roman" w:cs="Times New Roman"/>
      <w:sz w:val="24"/>
      <w:szCs w:val="24"/>
    </w:rPr>
  </w:style>
  <w:style w:type="character" w:styleId="FontStyle92">
    <w:name w:val="Font Style92"/>
    <w:qFormat/>
    <w:rPr>
      <w:rFonts w:ascii="Times New Roman" w:hAnsi="Times New Roman" w:cs="Times New Roman"/>
      <w:sz w:val="24"/>
    </w:rPr>
  </w:style>
  <w:style w:type="character" w:styleId="fontstyle01">
    <w:name w:val="fontstyle01"/>
    <w:qFormat/>
    <w:rPr>
      <w:rFonts w:ascii="Tahoma" w:hAnsi="Tahoma" w:cs="Tahoma"/>
      <w:b w:val="false"/>
      <w:bCs w:val="false"/>
      <w:i w:val="false"/>
      <w:iCs w:val="false"/>
      <w:color w:val="000000"/>
      <w:sz w:val="20"/>
      <w:szCs w:val="20"/>
    </w:rPr>
  </w:style>
  <w:style w:type="character" w:styleId="FontStyle45">
    <w:name w:val="Font Style45"/>
    <w:qFormat/>
    <w:rPr>
      <w:rFonts w:ascii="Times New Roman" w:hAnsi="Times New Roman" w:cs="Times New Roman"/>
      <w:b/>
      <w:bCs/>
      <w:color w:val="000000"/>
      <w:sz w:val="22"/>
      <w:szCs w:val="22"/>
    </w:rPr>
  </w:style>
  <w:style w:type="character" w:styleId="Style17">
    <w:name w:val="Абзац списка Знак"/>
    <w:qFormat/>
    <w:rPr>
      <w:rFonts w:ascii="Calibri" w:hAnsi="Calibri" w:cs="Calibri"/>
      <w:sz w:val="22"/>
      <w:szCs w:val="22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Style18">
    <w:name w:val="Обычный (веб)"/>
    <w:basedOn w:val="Normal"/>
    <w:qFormat/>
    <w:pPr>
      <w:spacing w:before="280" w:after="28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tyle20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ConsPlusNormal">
    <w:name w:val="ConsPlusNormal"/>
    <w:qFormat/>
    <w:pPr>
      <w:widowControl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21">
    <w:name w:val="Подподпункт"/>
    <w:basedOn w:val="Normal"/>
    <w:qFormat/>
    <w:pPr>
      <w:numPr>
        <w:ilvl w:val="0"/>
        <w:numId w:val="3"/>
      </w:numPr>
      <w:tabs>
        <w:tab w:val="clear" w:pos="708"/>
        <w:tab w:val="left" w:pos="1134" w:leader="none"/>
        <w:tab w:val="left" w:pos="1418" w:leader="none"/>
      </w:tabs>
      <w:spacing w:lineRule="auto" w:line="360"/>
      <w:jc w:val="both"/>
    </w:pPr>
    <w:rPr>
      <w:sz w:val="28"/>
      <w:szCs w:val="20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lang w:val="en-US"/>
    </w:rPr>
  </w:style>
  <w:style w:type="paragraph" w:styleId="Style22">
    <w:name w:val="Подподподпункт"/>
    <w:basedOn w:val="Normal"/>
    <w:qFormat/>
    <w:pPr>
      <w:numPr>
        <w:ilvl w:val="0"/>
        <w:numId w:val="4"/>
      </w:numPr>
      <w:tabs>
        <w:tab w:val="clear" w:pos="708"/>
        <w:tab w:val="left" w:pos="1134" w:leader="none"/>
        <w:tab w:val="left" w:pos="1701" w:leader="none"/>
      </w:tabs>
      <w:snapToGrid w:val="false"/>
      <w:spacing w:lineRule="auto" w:line="360"/>
      <w:jc w:val="both"/>
    </w:pPr>
    <w:rPr>
      <w:sz w:val="28"/>
      <w:szCs w:val="20"/>
    </w:rPr>
  </w:style>
  <w:style w:type="paragraph" w:styleId="Style23">
    <w:name w:val="Абзац списка"/>
    <w:basedOn w:val="Normal"/>
    <w:qFormat/>
    <w:pPr>
      <w:suppressAutoHyphens w:val="true"/>
      <w:spacing w:lineRule="auto" w:line="276" w:before="0" w:after="200"/>
      <w:ind w:hanging="0" w:start="720" w:end="0"/>
    </w:pPr>
    <w:rPr>
      <w:rFonts w:ascii="Calibri" w:hAnsi="Calibri" w:cs="Calibri"/>
      <w:sz w:val="22"/>
      <w:szCs w:val="22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2023-12-07T07:14:00Z</dcterms:created>
  <dc:creator>ананьев</dc:creator>
  <dc:description/>
  <cp:keywords/>
  <dc:language>en-US</dc:language>
  <cp:lastModifiedBy>a.andrienko</cp:lastModifiedBy>
  <cp:lastPrinted>2025-03-03T15:03:00Z</cp:lastPrinted>
  <dcterms:modified xsi:type="dcterms:W3CDTF">2025-03-03T10:03:00Z</dcterms:modified>
  <cp:revision>47</cp:revision>
  <dc:subject/>
  <dc:title/>
</cp:coreProperties>
</file>