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ИТОГОВЫЙ ПРОТОКОЛ В ЗАПРОСЕ ЦЕН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0416925006DP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32515520796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цен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ДОШКОЛЬНОЕ ОБРАЗОВАТЕЛЬНОЕ УЧРЕЖДЕНИЕ "МОРОЗОВСКИЙ ДЕТСКИЙ САД КОМБИНИРОВАННОГО ВИДА" (ИНН: 4703040357, КПП: 470301001, ОГРН: 1034700560377).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188679, Р-Н ВСЕВОЛОЖСКИЙ, УЛ. ХЕСИНА, ГП. ИМЕНИ МОРОЗОВА, Д.6.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188679, Р-Н ВСЕВОЛОЖСКИЙ, УЛ. ХЕСИНА, ГП. ИМЕНИ МОРОЗОВА, Д.6.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ДОШКОЛЬНОЕ ОБРАЗОВАТЕЛЬНОЕ УЧРЕЖДЕНИЕ "МОРОЗОВСКИЙ ДЕТСКИЙ САД КОМБИНИРОВАННОГО ВИДА" (ИНН: 4703040357, КПП: 470301001, ОГРН: 1034700560377).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188679, Р-Н ВСЕВОЛОЖСКИЙ, УЛ. ХЕСИНА, ГП. ИМЕНИ МОРОЗОВА, Д.6.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188679, Р-Н ВСЕВОЛОЖСКИЙ, УЛ. ХЕСИНА, ГП. ИМЕНИ МОРОЗОВА, Д.6.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Силенкова А. А., тел.: 88137035991, e-mail: detsadik22@mail.ru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Оказание услуг по организации и обеспечению охраны объектов и (или) имущества, а также обеспечение внутриобъектового и пропускного режимов на объектах</w:t>
        <w:br/>
        <w:t>Муниципальное дошкольное образовательное учреждение «Морозовский детский сад комбинированного вида»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Оказание услуг по организации и обеспечению охраны объектов и (или) имущества, а также обеспечение внутриобъектового и пропускного режимов на объектах</w:t>
        <w:br/>
        <w:t>Муниципальное дошкольное образовательное учреждение «Морозовский детский сад комбинированного вида».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5"/>
        <w:gridCol w:w="2657"/>
        <w:gridCol w:w="1379"/>
        <w:gridCol w:w="1334"/>
        <w:gridCol w:w="2682"/>
        <w:gridCol w:w="1201"/>
      </w:tblGrid>
      <w:tr>
        <w:trPr/>
        <w:tc>
          <w:tcPr>
            <w:tcW w:w="38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65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37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3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68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20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65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Услуги частных охранных организаций Эта группировка включает: - защиту жизни и здоровья граждан; - охрану объектов и (или) имущества (в том числе при его транспортировке); - консультирование и подготовку рекомендаций клиентам по вопросам правомерной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(Условная единица)</w:t>
            </w:r>
          </w:p>
        </w:tc>
        <w:tc>
          <w:tcPr>
            <w:tcW w:w="133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8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80.10.12.200: Услуги частных охранных организаций Эта группировка включает: - защиту жизни и здоровья граждан; - охрану объектов и (или) имущества (в том числе при его транспортировке); - консультирование и подготовку рекомендаций клиентам по вопросам правомерной</w:t>
            </w:r>
          </w:p>
        </w:tc>
        <w:tc>
          <w:tcPr>
            <w:tcW w:w="120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80.10: Деятельность охранных служб, в том числе частных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Услуги частных охранных организаций Эта группировка включает: - защиту жизни и здоровья граждан; - охрану объектов и (или) имущества (в том числе при его транспортировке); - консультирование и подготовку рекомендаций клиентам по вопросам правомерной: 1 Условная единица.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8 584 800.00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только для субъектов малого и среднего предпринимательства.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11 декабря 2025 года по 12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11 декабря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12 декабря 2025 года в 09:00 MCK.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188679, Р-Н ВСЕВОЛОЖСКИЙ, УЛ. ХЕСИНА, ГП. ИМЕНИ МОРОЗОВА, Д.6, 15 декабря 2025 года в 12:47 MCK.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188679, Р-Н ВСЕВОЛОЖСКИЙ, УЛ. ХЕСИНА, ГП. ИМЕНИ МОРОЗОВА, Д.6, 15 декабря 2025 года в 12:47 MCK.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08:38:13 MCK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№31860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№31860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variable"/>
        <w:bidi w:val="0"/>
        <w:jc w:val="start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43"/>
        <w:gridCol w:w="4295"/>
      </w:tblGrid>
      <w:tr>
        <w:trPr/>
        <w:tc>
          <w:tcPr>
            <w:tcW w:w="534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29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34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№31860, - 12.12.2025 08:38 MCK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8 584 800.00 руб.</w:t>
            </w:r>
          </w:p>
        </w:tc>
        <w:tc>
          <w:tcPr>
            <w:tcW w:w="429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признании закупки несостоявшейся</w:t>
      </w:r>
    </w:p>
    <w:p>
      <w:pPr>
        <w:pStyle w:val="text"/>
        <w:bidi w:val="0"/>
        <w:spacing w:lineRule="auto" w:line="240"/>
        <w:jc w:val="start"/>
        <w:rPr/>
      </w:pPr>
      <w:r>
        <w:rPr/>
        <w:t>На участие в закупке была подана только одна заявка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9"/>
        <w:gridCol w:w="4980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Силенкова Анна Александровна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Алексеева Ольга Борисовна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Дюбченко Светлана Анантольевна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Пятакова Галина Николаевна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Цомартова Валентина Григорьевна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Секретарь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Слабыня Ирина Сергеевна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2025-12-15T09:47:41Z</dcterms:created>
  <dc:creator/>
  <dc:description/>
  <dc:language>en-US</dc:language>
  <cp:lastModifiedBy/>
  <dcterms:modified xsi:type="dcterms:W3CDTF">2025-12-15T09:47:42Z</dcterms:modified>
  <cp:revision>2</cp:revision>
  <dc:subject/>
  <dc:title/>
</cp:coreProperties>
</file>