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0" w:before="0" w:after="0"/>
        <w:ind w:hanging="0" w:start="0" w:end="0"/>
        <w:jc w:val="center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 xml:space="preserve">Протокол </w:t>
        <w:br/>
        <w:t xml:space="preserve">Рассмотрения заявок на участие в процедуре    </w:t>
        <w:br/>
        <w:t>32514504876</w:t>
      </w:r>
    </w:p>
    <w:tbl>
      <w:tblPr>
        <w:tblW w:w="10228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5"/>
        <w:gridCol w:w="5133"/>
      </w:tblGrid>
      <w:tr>
        <w:trPr>
          <w:trHeight w:val="100" w:hRule="atLeast"/>
        </w:trPr>
        <w:tc>
          <w:tcPr>
            <w:tcW w:w="509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Ветлужский район</w:t>
            </w:r>
          </w:p>
        </w:tc>
        <w:tc>
          <w:tcPr>
            <w:tcW w:w="5133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end"/>
              <w:rPr/>
            </w:pPr>
            <w:r>
              <w:rPr>
                <w:rFonts w:ascii="Times New Roman" w:hAnsi="Times New Roman"/>
                <w:sz w:val="24"/>
              </w:rPr>
              <w:t>«28» февраля 2025 г.</w:t>
            </w:r>
          </w:p>
        </w:tc>
      </w:tr>
    </w:tbl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sz w:val="24"/>
        </w:rPr>
        <w:t>Организатором является: ГОСУДАРСТВЕННОЕ БЮДЖЕТНОЕ УЧРЕЖДЕНИЕ "ВЕТЛУЖСКИЙ ПСИХОНЕВРОЛОГИЧЕСКИЙ ИНТЕРНАТ"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b w:val="false"/>
          <w:sz w:val="24"/>
        </w:rPr>
        <w:t xml:space="preserve"> Наименование процедуры и предмет договора: </w:t>
        <w:br/>
        <w:t>поставка нефтепродуктов    по топливным картам во 1-м полугодии 2025 года для нужд ГБУ «Ветлужский ПНИ», лот №1: поставка нефтепродуктов    по топливным картам во 1-м полугодии 2025 года для нужд ГБУ «Ветлужский ПНИ»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b w:val="false"/>
          <w:sz w:val="24"/>
        </w:rPr>
        <w:t xml:space="preserve"> Начальная цена договора: </w:t>
        <w:br/>
        <w:t xml:space="preserve">513 304,50 руб. 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3.</w:t>
      </w:r>
      <w:r>
        <w:rPr>
          <w:rFonts w:ascii="Times New Roman" w:hAnsi="Times New Roman"/>
          <w:b w:val="false"/>
          <w:sz w:val="24"/>
        </w:rPr>
        <w:t xml:space="preserve"> Извещение и документация о проведении настоящей процедуры были размещены «12» февраля 2025 года на сайте ЭТП ГПБ, по адресу в сети «Интернет»: https://etp.gpb.ru.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4.</w:t>
      </w:r>
      <w:r>
        <w:rPr>
          <w:rFonts w:ascii="Times New Roman" w:hAnsi="Times New Roman"/>
          <w:b w:val="false"/>
          <w:sz w:val="24"/>
        </w:rPr>
        <w:t xml:space="preserve"> Состав комиссии. </w:t>
        <w:br/>
        <w:t xml:space="preserve">На заседании комиссии (Единая комиссия), при рассмотрении заявок на участие присутствовали: </w:t>
        <w:br/>
        <w:t xml:space="preserve">Председатель комиссии: Грибанов Алексей Лекандрович </w:t>
        <w:br/>
        <w:t xml:space="preserve">Член комиссии: Разумова Светлана Александровна </w:t>
        <w:br/>
        <w:t>Член комиссии: Чиркин Михаил Сергеевич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5.</w:t>
      </w:r>
      <w:r>
        <w:rPr>
          <w:rFonts w:ascii="Times New Roman" w:hAnsi="Times New Roman"/>
          <w:b w:val="false"/>
          <w:sz w:val="24"/>
        </w:rPr>
        <w:t xml:space="preserve"> По окончании срока подачи заявок до 10 часов 00 минут (время московское) «28» февраля 2025 года не подана ни одна заявка на участие в процедуре.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6.</w:t>
      </w:r>
      <w:r>
        <w:rPr>
          <w:rFonts w:ascii="Times New Roman" w:hAnsi="Times New Roman"/>
          <w:b w:val="false"/>
          <w:sz w:val="24"/>
        </w:rPr>
        <w:t xml:space="preserve"> Комиссия приняла решение признать процедуру </w:t>
      </w:r>
      <w:r>
        <w:rPr>
          <w:rFonts w:ascii="Times New Roman" w:hAnsi="Times New Roman"/>
          <w:b/>
          <w:sz w:val="24"/>
        </w:rPr>
        <w:t>32514504876</w:t>
      </w:r>
      <w:r>
        <w:rPr>
          <w:rFonts w:ascii="Times New Roman" w:hAnsi="Times New Roman"/>
          <w:b w:val="false"/>
          <w:sz w:val="24"/>
        </w:rPr>
        <w:t xml:space="preserve"> несостоявшейся (</w:t>
      </w:r>
      <w:r>
        <w:rPr>
          <w:rFonts w:ascii="Times New Roman" w:hAnsi="Times New Roman"/>
          <w:b w:val="false"/>
          <w:i/>
          <w:sz w:val="24"/>
        </w:rPr>
        <w:t>до окончания срока подачи заявок не подана ни одна заявка на участие в процедуре</w:t>
      </w:r>
      <w:r>
        <w:rPr>
          <w:rFonts w:ascii="Times New Roman" w:hAnsi="Times New Roman"/>
          <w:b w:val="false"/>
          <w:i w:val="false"/>
          <w:sz w:val="24"/>
        </w:rPr>
        <w:t>)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7.</w:t>
      </w:r>
      <w:r>
        <w:rPr>
          <w:rFonts w:ascii="Times New Roman" w:hAnsi="Times New Roman"/>
          <w:b w:val="false"/>
          <w:sz w:val="24"/>
        </w:rPr>
        <w:t xml:space="preserve"> Настоящий протокол рассмотрения заявок на участие    направлен на сайт ЭТП ГПБ, по адресу в сети «Интернет»: </w:t>
      </w:r>
      <w:hyperlink w:anchor="https%3A%2F%2Fetp.gpb.ru">
        <w:r>
          <w:rPr>
            <w:rStyle w:val="Style9"/>
            <w:rFonts w:ascii="Times New Roman" w:hAnsi="Times New Roman"/>
            <w:b w:val="false"/>
            <w:sz w:val="24"/>
          </w:rPr>
          <w:t>https://etp.gpb.ru</w:t>
        </w:r>
      </w:hyperlink>
      <w:r>
        <w:rPr>
          <w:rFonts w:ascii="Times New Roman" w:hAnsi="Times New Roman"/>
          <w:b w:val="false"/>
          <w:sz w:val="24"/>
        </w:rPr>
        <w:t>.</w:t>
      </w:r>
    </w:p>
    <w:tbl>
      <w:tblPr>
        <w:tblW w:w="10227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650"/>
        <w:gridCol w:w="2268"/>
        <w:gridCol w:w="170"/>
        <w:gridCol w:w="4139"/>
      </w:tblGrid>
      <w:tr>
        <w:trPr>
          <w:trHeight w:val="567" w:hRule="atLeast"/>
        </w:trPr>
        <w:tc>
          <w:tcPr>
            <w:tcW w:w="6088" w:type="dxa"/>
            <w:gridSpan w:val="3"/>
            <w:tcBorders/>
            <w:vAlign w:val="center"/>
          </w:tcPr>
          <w:p>
            <w:pPr>
              <w:pStyle w:val="Normal"/>
              <w:keepNext w:val="true"/>
              <w:keepLines/>
              <w:bidi w:val="0"/>
              <w:jc w:val="start"/>
              <w:rPr/>
            </w:pPr>
            <w:r>
              <w:rPr>
                <w:rFonts w:ascii="Times New Roman" w:hAnsi="Times New Roman"/>
                <w:b/>
                <w:sz w:val="24"/>
              </w:rPr>
              <w:t>Члены комиссии, присутствующие на заседании: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w="3650" w:type="dxa"/>
            <w:tcBorders/>
            <w:vAlign w:val="bottom"/>
          </w:tcPr>
          <w:p>
            <w:pPr>
              <w:pStyle w:val="Normal"/>
              <w:keepNext w:val="true"/>
              <w:keepLines/>
              <w:bidi w:val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xml:space="preserve">Председатель комиссии: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413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Грибанов Алексей Лекандрович</w:t>
            </w:r>
          </w:p>
        </w:tc>
      </w:tr>
      <w:tr>
        <w:trPr>
          <w:trHeight w:val="100" w:hRule="atLeast"/>
        </w:trPr>
        <w:tc>
          <w:tcPr>
            <w:tcW w:w="3650" w:type="dxa"/>
            <w:tcBorders/>
          </w:tcPr>
          <w:p>
            <w:pPr>
              <w:pStyle w:val="Normal"/>
              <w:keepNext w:val="true"/>
              <w:keepLines/>
              <w:bidi w:val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</w:rPr>
              <w:t>(подпись)</w:t>
            </w:r>
          </w:p>
        </w:tc>
        <w:tc>
          <w:tcPr>
            <w:tcW w:w="17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41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w="3650" w:type="dxa"/>
            <w:tcBorders/>
            <w:vAlign w:val="bottom"/>
          </w:tcPr>
          <w:p>
            <w:pPr>
              <w:pStyle w:val="Normal"/>
              <w:keepNext w:val="true"/>
              <w:keepLines/>
              <w:bidi w:val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xml:space="preserve">Член комиссии: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413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Разумова Светлана Александровна</w:t>
            </w:r>
          </w:p>
        </w:tc>
      </w:tr>
      <w:tr>
        <w:trPr>
          <w:trHeight w:val="100" w:hRule="atLeast"/>
        </w:trPr>
        <w:tc>
          <w:tcPr>
            <w:tcW w:w="3650" w:type="dxa"/>
            <w:tcBorders/>
          </w:tcPr>
          <w:p>
            <w:pPr>
              <w:pStyle w:val="Normal"/>
              <w:keepNext w:val="true"/>
              <w:keepLines/>
              <w:bidi w:val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</w:rPr>
              <w:t>(подпись)</w:t>
            </w:r>
          </w:p>
        </w:tc>
        <w:tc>
          <w:tcPr>
            <w:tcW w:w="17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41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w="3650" w:type="dxa"/>
            <w:tcBorders/>
            <w:vAlign w:val="bottom"/>
          </w:tcPr>
          <w:p>
            <w:pPr>
              <w:pStyle w:val="Normal"/>
              <w:keepNext w:val="true"/>
              <w:keepLines/>
              <w:bidi w:val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xml:space="preserve">Член комиссии: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413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Чиркин Михаил Сергеевич</w:t>
            </w:r>
          </w:p>
        </w:tc>
      </w:tr>
      <w:tr>
        <w:trPr>
          <w:trHeight w:val="100" w:hRule="atLeast"/>
        </w:trPr>
        <w:tc>
          <w:tcPr>
            <w:tcW w:w="3650" w:type="dxa"/>
            <w:tcBorders/>
          </w:tcPr>
          <w:p>
            <w:pPr>
              <w:pStyle w:val="Normal"/>
              <w:keepNext w:val="true"/>
              <w:keepLines/>
              <w:bidi w:val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</w:rPr>
              <w:t>(подпись)</w:t>
            </w:r>
          </w:p>
        </w:tc>
        <w:tc>
          <w:tcPr>
            <w:tcW w:w="17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41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