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keepNext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 xml:space="preserve">Протокол №</w:t>
      </w:r>
      <w:r>
        <w:rPr>
          <w:b/>
          <w:sz w:val="26"/>
          <w:szCs w:val="26"/>
          <w:highlight w:val="white"/>
        </w:rPr>
        <w:t xml:space="preserve">3</w:t>
      </w:r>
      <w:r>
        <w:rPr>
          <w:b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</w:rPr>
      </w:r>
    </w:p>
    <w:p>
      <w:pPr>
        <w:jc w:val="center"/>
        <w:widowControl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  <w:t xml:space="preserve">заочного заседания закупочной комиссии </w:t>
      </w:r>
      <w:r>
        <w:rPr>
          <w:b/>
          <w:sz w:val="26"/>
          <w:szCs w:val="26"/>
          <w:highlight w:val="white"/>
        </w:rPr>
        <w:t xml:space="preserve">по подведению итогов закупки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pStyle w:val="1004"/>
        <w:jc w:val="both"/>
        <w:spacing w:after="0" w:line="240" w:lineRule="auto"/>
        <w:rPr>
          <w:b/>
          <w:bCs/>
          <w:sz w:val="26"/>
          <w:szCs w:val="26"/>
          <w:highlight w:val="white"/>
        </w:rPr>
      </w:pP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contextualSpacing/>
        <w:jc w:val="both"/>
        <w:rPr>
          <w:color w:val="0000cc"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г. Петрозаводск </w:t>
      </w:r>
      <w:r>
        <w:rPr>
          <w:color w:val="0000cc"/>
          <w:sz w:val="26"/>
          <w:szCs w:val="26"/>
          <w:highlight w:val="white"/>
        </w:rPr>
        <w:tab/>
      </w:r>
      <w:r>
        <w:rPr>
          <w:color w:val="0000cc"/>
          <w:sz w:val="26"/>
          <w:szCs w:val="26"/>
          <w:highlight w:val="white"/>
        </w:rPr>
        <w:tab/>
      </w:r>
      <w:r>
        <w:rPr>
          <w:color w:val="0000cc"/>
          <w:sz w:val="26"/>
          <w:szCs w:val="26"/>
          <w:highlight w:val="white"/>
        </w:rPr>
        <w:tab/>
      </w:r>
      <w:r>
        <w:rPr>
          <w:color w:val="0000cc"/>
          <w:sz w:val="26"/>
          <w:szCs w:val="26"/>
          <w:highlight w:val="white"/>
        </w:rPr>
        <w:tab/>
      </w:r>
      <w:r>
        <w:rPr>
          <w:color w:val="0000cc"/>
          <w:sz w:val="26"/>
          <w:szCs w:val="26"/>
          <w:highlight w:val="white"/>
        </w:rPr>
        <w:tab/>
      </w:r>
      <w:r>
        <w:rPr>
          <w:color w:val="0000cc"/>
          <w:sz w:val="26"/>
          <w:szCs w:val="26"/>
          <w:highlight w:val="white"/>
        </w:rPr>
        <w:tab/>
        <w:t xml:space="preserve">             </w:t>
      </w:r>
      <w:r>
        <w:rPr>
          <w:color w:val="0000cc"/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 xml:space="preserve">«26</w:t>
      </w:r>
      <w:r>
        <w:rPr>
          <w:sz w:val="26"/>
          <w:szCs w:val="26"/>
          <w:highlight w:val="white"/>
        </w:rPr>
        <w:t xml:space="preserve">» ноября</w:t>
      </w:r>
      <w:r>
        <w:rPr>
          <w:sz w:val="26"/>
          <w:szCs w:val="26"/>
          <w:highlight w:val="white"/>
        </w:rPr>
        <w:t xml:space="preserve"> 2025 года</w:t>
      </w:r>
      <w:r>
        <w:rPr>
          <w:color w:val="0000cc"/>
          <w:sz w:val="26"/>
          <w:szCs w:val="26"/>
          <w:highlight w:val="white"/>
        </w:rPr>
      </w:r>
      <w:r>
        <w:rPr>
          <w:color w:val="0000cc"/>
          <w:sz w:val="26"/>
          <w:szCs w:val="26"/>
          <w:highlight w:val="white"/>
        </w:rPr>
      </w:r>
    </w:p>
    <w:p>
      <w:pPr>
        <w:contextualSpacing/>
        <w:jc w:val="both"/>
        <w:tabs>
          <w:tab w:val="left" w:pos="9020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Дата заседания Закупочной комиссии: 26.11</w:t>
      </w:r>
      <w:r>
        <w:rPr>
          <w:sz w:val="26"/>
          <w:szCs w:val="26"/>
          <w:highlight w:val="white"/>
        </w:rPr>
        <w:t xml:space="preserve">.2025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contextualSpacing/>
        <w:jc w:val="both"/>
        <w:tabs>
          <w:tab w:val="left" w:pos="9020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Дата подписания протокола: 28.11</w:t>
      </w:r>
      <w:r>
        <w:rPr>
          <w:sz w:val="26"/>
          <w:szCs w:val="26"/>
          <w:highlight w:val="white"/>
        </w:rPr>
        <w:t xml:space="preserve">.2025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ind w:right="-24"/>
        <w:jc w:val="both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ПРЕДМЕТ И НАИМЕНОВАНИЕ ЗАКУПКИ: 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pStyle w:val="971"/>
        <w:ind w:left="0"/>
        <w:jc w:val="both"/>
        <w:tabs>
          <w:tab w:val="left" w:pos="851" w:leader="none"/>
        </w:tabs>
        <w:rPr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Запрос предложений в электронной форме на право заключения договора на Приобретение легкового автомобиля Нива Тревэл.</w:t>
      </w:r>
      <w:r>
        <w:rPr>
          <w:highlight w:val="white"/>
        </w:rPr>
      </w:r>
      <w:r>
        <w:rPr>
          <w:highlight w:val="white"/>
        </w:rPr>
      </w:r>
    </w:p>
    <w:p>
      <w:pPr>
        <w:pStyle w:val="971"/>
        <w:ind w:left="0"/>
        <w:jc w:val="both"/>
        <w:tabs>
          <w:tab w:val="left" w:pos="851" w:leader="none"/>
        </w:tabs>
        <w:rPr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Официальная публикация Извещения о проведении запроса предложений размещена на сайте Российской Федерации (www.zakupki.gov.ru 30 ноября 2025 года № 32515357134).</w:t>
      </w:r>
      <w:r>
        <w:rPr>
          <w:highlight w:val="white"/>
        </w:rPr>
      </w:r>
      <w:r>
        <w:rPr>
          <w:highlight w:val="white"/>
        </w:rPr>
      </w:r>
    </w:p>
    <w:p>
      <w:pPr>
        <w:pStyle w:val="971"/>
        <w:ind w:left="0"/>
        <w:jc w:val="both"/>
        <w:tabs>
          <w:tab w:val="left" w:pos="851" w:leader="none"/>
        </w:tabs>
        <w:rPr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Извещение о проведении запроса предложений опубликовано на ЭТП (https://tender.lot-online.ru).</w:t>
      </w:r>
      <w:r>
        <w:rPr>
          <w:highlight w:val="white"/>
        </w:rPr>
      </w:r>
      <w:r>
        <w:rPr>
          <w:highlight w:val="white"/>
        </w:rPr>
      </w:r>
    </w:p>
    <w:p>
      <w:pPr>
        <w:pStyle w:val="971"/>
        <w:ind w:left="0"/>
        <w:jc w:val="both"/>
        <w:tabs>
          <w:tab w:val="left" w:pos="851" w:leader="none"/>
        </w:tabs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  <w:highlight w:val="white"/>
        </w:rPr>
        <w:t xml:space="preserve">Запрос предложений проводится на основании решения совета директоров (СД) АО «ПСК» (протокол от 24.10.2025 №4).</w:t>
      </w:r>
      <w:r>
        <w:rPr>
          <w:rFonts w:ascii="Times New Roman" w:hAnsi="Times New Roman" w:cs="Times New Roman"/>
          <w:sz w:val="26"/>
          <w:szCs w:val="26"/>
          <w:highlight w:val="white"/>
        </w:rPr>
      </w:r>
      <w:r>
        <w:rPr>
          <w:rFonts w:ascii="Times New Roman" w:hAnsi="Times New Roman" w:cs="Times New Roman"/>
          <w:sz w:val="26"/>
          <w:szCs w:val="26"/>
          <w:highlight w:val="white"/>
        </w:rPr>
      </w:r>
    </w:p>
    <w:p>
      <w:pPr>
        <w:jc w:val="both"/>
        <w:tabs>
          <w:tab w:val="left" w:pos="851" w:leader="none"/>
        </w:tabs>
        <w:rPr>
          <w:color w:val="0000cc"/>
          <w:sz w:val="26"/>
          <w:szCs w:val="26"/>
          <w:highlight w:val="white"/>
        </w:rPr>
      </w:pPr>
      <w:r>
        <w:rPr>
          <w:color w:val="0000cc"/>
          <w:sz w:val="26"/>
          <w:szCs w:val="26"/>
          <w:highlight w:val="white"/>
        </w:rPr>
      </w:r>
      <w:r>
        <w:rPr>
          <w:color w:val="0000cc"/>
          <w:sz w:val="26"/>
          <w:szCs w:val="26"/>
          <w:highlight w:val="white"/>
        </w:rPr>
      </w:r>
      <w:r>
        <w:rPr>
          <w:color w:val="0000cc"/>
          <w:sz w:val="26"/>
          <w:szCs w:val="26"/>
          <w:highlight w:val="white"/>
        </w:rPr>
      </w:r>
    </w:p>
    <w:p>
      <w:pPr>
        <w:jc w:val="both"/>
        <w:tabs>
          <w:tab w:val="left" w:pos="1134" w:leader="none"/>
        </w:tabs>
        <w:rPr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ТРЕБОВАНИЯ ЗАКАЗЧИКА:</w:t>
      </w:r>
      <w:r>
        <w:rPr>
          <w:sz w:val="26"/>
          <w:szCs w:val="26"/>
          <w:highlight w:val="white"/>
          <w:u w:val="single"/>
        </w:rPr>
      </w:r>
      <w:r>
        <w:rPr>
          <w:sz w:val="26"/>
          <w:szCs w:val="26"/>
          <w:highlight w:val="white"/>
          <w:u w:val="single"/>
        </w:rPr>
      </w:r>
    </w:p>
    <w:p>
      <w:pPr>
        <w:jc w:val="both"/>
        <w:spacing w:line="283" w:lineRule="atLeast"/>
        <w:tabs>
          <w:tab w:val="left" w:pos="1134" w:leader="none"/>
        </w:tabs>
        <w:rPr>
          <w:sz w:val="26"/>
          <w:szCs w:val="26"/>
          <w:highlight w:val="white"/>
        </w:rPr>
      </w:pPr>
      <w:r>
        <w:rPr>
          <w:bCs/>
          <w:sz w:val="26"/>
          <w:szCs w:val="26"/>
          <w:highlight w:val="white"/>
        </w:rPr>
      </w:r>
      <w:r>
        <w:rPr>
          <w:bCs/>
          <w:sz w:val="26"/>
          <w:szCs w:val="26"/>
          <w:highlight w:val="white"/>
        </w:rPr>
        <w:t xml:space="preserve">Начальная (максимальная) цена договора (цена лота) – 10 290 000,00 рублей без НДС / 12 348 000,00 рублей с НДС.</w:t>
      </w:r>
      <w:r>
        <w:rPr>
          <w:bCs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spacing w:line="283" w:lineRule="atLeast"/>
        <w:tabs>
          <w:tab w:val="left" w:pos="1134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tabs>
          <w:tab w:val="left" w:pos="851" w:leader="none"/>
          <w:tab w:val="num" w:pos="2127" w:leader="none"/>
        </w:tabs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СОСТАВ ЗАКУПОЧНОЙ КОМИССИИ: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jc w:val="both"/>
        <w:tabs>
          <w:tab w:val="num" w:pos="709" w:leader="none"/>
        </w:tabs>
        <w:rPr>
          <w:highlight w:val="white"/>
        </w:rPr>
      </w:pPr>
      <w:r>
        <w:rPr>
          <w:sz w:val="26"/>
          <w:szCs w:val="26"/>
          <w:highlight w:val="white"/>
        </w:rPr>
        <w:t xml:space="preserve">Состав постоянно действующей закупочной комиссии (далее – закупочной комиссии) утвержден приказом АО «ПСК» от 24.10.2025 № 609-1 «Об утверждении состава Закупочной комиссии».</w:t>
      </w:r>
      <w:r>
        <w:rPr>
          <w:highlight w:val="white"/>
        </w:rPr>
      </w:r>
      <w:r>
        <w:rPr>
          <w:highlight w:val="white"/>
        </w:rPr>
      </w:r>
    </w:p>
    <w:p>
      <w:pPr>
        <w:jc w:val="both"/>
        <w:tabs>
          <w:tab w:val="num" w:pos="709" w:leader="none"/>
        </w:tabs>
        <w:rPr>
          <w:highlight w:val="white"/>
        </w:rPr>
      </w:pPr>
      <w:r>
        <w:rPr>
          <w:sz w:val="26"/>
          <w:szCs w:val="26"/>
          <w:highlight w:val="white"/>
        </w:rPr>
        <w:t xml:space="preserve">В состав Закупочной комиссии входит 9 (девять) членов с правом голоса.</w:t>
      </w:r>
      <w:r>
        <w:rPr>
          <w:highlight w:val="white"/>
        </w:rPr>
      </w:r>
      <w:r>
        <w:rPr>
          <w:highlight w:val="white"/>
        </w:rPr>
      </w:r>
    </w:p>
    <w:p>
      <w:pPr>
        <w:jc w:val="both"/>
        <w:tabs>
          <w:tab w:val="num" w:pos="709" w:leader="none"/>
        </w:tabs>
        <w:rPr>
          <w:highlight w:val="white"/>
        </w:rPr>
      </w:pPr>
      <w:r>
        <w:rPr>
          <w:sz w:val="26"/>
          <w:szCs w:val="26"/>
          <w:highlight w:val="white"/>
        </w:rPr>
        <w:t xml:space="preserve">Кворум имеется. Закупочная комиссия правомочна принимать решения.</w:t>
      </w:r>
      <w:r>
        <w:rPr>
          <w:highlight w:val="white"/>
        </w:rPr>
      </w:r>
      <w:r>
        <w:rPr>
          <w:highlight w:val="white"/>
        </w:rPr>
      </w:r>
    </w:p>
    <w:p>
      <w:pPr>
        <w:jc w:val="both"/>
        <w:tabs>
          <w:tab w:val="num" w:pos="709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Место пр</w:t>
      </w:r>
      <w:r>
        <w:rPr>
          <w:sz w:val="26"/>
          <w:szCs w:val="26"/>
          <w:highlight w:val="white"/>
        </w:rPr>
        <w:t xml:space="preserve">оведения заседания закупочной комиссии: АО «ПСК», Россия, г. Петрозаводск, ул. Пограничная, д.22.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ind w:right="-24" w:firstLine="567"/>
        <w:jc w:val="both"/>
        <w:rPr>
          <w:b/>
          <w:sz w:val="26"/>
          <w:szCs w:val="26"/>
          <w:highlight w:val="white"/>
          <w:u w:val="single"/>
        </w:rPr>
        <w:outlineLvl w:val="1"/>
      </w:pP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tabs>
          <w:tab w:val="left" w:pos="851" w:leader="none"/>
          <w:tab w:val="num" w:pos="2127" w:leader="none"/>
        </w:tabs>
        <w:rPr>
          <w:b/>
          <w:sz w:val="24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СВЕДЕНИЯ О ЗАЯВКАХ, ПОСТУПИВШИХ НА УЧАСТИЕ В ЗАКУПКЕ:</w:t>
      </w:r>
      <w:r>
        <w:rPr>
          <w:b/>
          <w:sz w:val="24"/>
          <w:highlight w:val="white"/>
          <w:u w:val="single"/>
        </w:rPr>
      </w:r>
      <w:r>
        <w:rPr>
          <w:b/>
          <w:sz w:val="24"/>
          <w:highlight w:val="white"/>
          <w:u w:val="single"/>
        </w:rPr>
      </w:r>
    </w:p>
    <w:p>
      <w:pPr>
        <w:ind w:left="0" w:right="-23" w:firstLine="567"/>
        <w:jc w:val="both"/>
        <w:spacing w:line="240" w:lineRule="auto"/>
        <w:rPr>
          <w:sz w:val="24"/>
          <w:szCs w:val="24"/>
          <w:highlight w:val="white"/>
        </w:rPr>
      </w:pPr>
      <w:r>
        <w:rPr>
          <w:i w:val="0"/>
          <w:iCs w:val="0"/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  <w:t xml:space="preserve">В рамках процедуры закупки в срок до</w:t>
      </w:r>
      <w:r>
        <w:rPr>
          <w:sz w:val="24"/>
          <w:szCs w:val="24"/>
          <w:highlight w:val="white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12.11.2025</w:t>
      </w:r>
      <w:r>
        <w:rPr>
          <w:b/>
          <w:sz w:val="24"/>
          <w:szCs w:val="24"/>
          <w:highlight w:val="white"/>
        </w:rPr>
        <w:t xml:space="preserve"> 12:00 MCK </w:t>
      </w:r>
      <w:r>
        <w:rPr>
          <w:sz w:val="24"/>
          <w:szCs w:val="24"/>
          <w:highlight w:val="white"/>
        </w:rPr>
        <w:t xml:space="preserve">поступила заявка </w:t>
      </w:r>
      <w:r>
        <w:rPr>
          <w:sz w:val="24"/>
          <w:szCs w:val="24"/>
          <w:highlight w:val="white"/>
        </w:rPr>
        <w:br/>
        <w:t xml:space="preserve">от </w:t>
      </w:r>
      <w:r>
        <w:rPr>
          <w:b/>
          <w:bCs/>
          <w:sz w:val="24"/>
          <w:szCs w:val="24"/>
          <w:highlight w:val="white"/>
        </w:rPr>
        <w:t xml:space="preserve">1</w:t>
      </w:r>
      <w:r>
        <w:rPr>
          <w:b/>
          <w:color w:val="000000" w:themeColor="text1"/>
          <w:sz w:val="24"/>
          <w:szCs w:val="24"/>
          <w:highlight w:val="white"/>
        </w:rPr>
        <w:t xml:space="preserve"> (одного) участника,</w:t>
      </w:r>
      <w:r>
        <w:rPr>
          <w:color w:val="000000" w:themeColor="text1"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ра</w:t>
      </w:r>
      <w:r>
        <w:rPr>
          <w:sz w:val="24"/>
          <w:szCs w:val="24"/>
          <w:highlight w:val="white"/>
        </w:rPr>
        <w:t xml:space="preserve">з</w:t>
      </w:r>
      <w:r>
        <w:rPr>
          <w:sz w:val="24"/>
          <w:szCs w:val="24"/>
          <w:highlight w:val="white"/>
        </w:rPr>
        <w:t xml:space="preserve">мещенная на ЭТП «</w:t>
      </w:r>
      <w:r>
        <w:rPr>
          <w:sz w:val="24"/>
          <w:szCs w:val="24"/>
          <w:highlight w:val="white"/>
        </w:rPr>
        <w:t xml:space="preserve">https://tender.lot-online.ru</w:t>
      </w:r>
      <w:r>
        <w:rPr>
          <w:sz w:val="24"/>
          <w:szCs w:val="24"/>
          <w:highlight w:val="white"/>
        </w:rPr>
        <w:t xml:space="preserve">» </w:t>
      </w:r>
      <w:r>
        <w:rPr>
          <w:sz w:val="24"/>
          <w:szCs w:val="24"/>
          <w:highlight w:val="white"/>
        </w:rPr>
        <w:br/>
      </w:r>
      <w:r>
        <w:rPr>
          <w:sz w:val="24"/>
          <w:szCs w:val="24"/>
          <w:highlight w:val="white"/>
        </w:rPr>
        <w:t xml:space="preserve">под следующим иден</w:t>
      </w:r>
      <w:r>
        <w:rPr>
          <w:sz w:val="24"/>
          <w:szCs w:val="24"/>
          <w:highlight w:val="white"/>
        </w:rPr>
        <w:t xml:space="preserve">тификационным номером</w:t>
      </w:r>
      <w:r>
        <w:rPr>
          <w:sz w:val="24"/>
          <w:szCs w:val="24"/>
          <w:highlight w:val="white"/>
        </w:rPr>
        <w:t xml:space="preserve">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tbl>
      <w:tblPr>
        <w:tblW w:w="4987" w:type="pct"/>
        <w:tblCellSpacing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1144"/>
        <w:gridCol w:w="3553"/>
        <w:gridCol w:w="5390"/>
      </w:tblGrid>
      <w:tr>
        <w:tblPrEx/>
        <w:trPr>
          <w:tblCellSpacing w:w="0" w:type="dxa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  <w:lang w:val="en-US"/>
              </w:rPr>
              <w:t xml:space="preserve">N </w:t>
            </w:r>
            <w:r>
              <w:rPr>
                <w:sz w:val="24"/>
                <w:szCs w:val="24"/>
                <w:highlight w:val="white"/>
              </w:rPr>
              <w:t xml:space="preserve">п/п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Рег. номер заявки</w:t>
            </w: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b/>
                <w:bCs/>
                <w:sz w:val="24"/>
                <w:szCs w:val="24"/>
                <w:highlight w:val="white"/>
              </w:rPr>
            </w:r>
          </w:p>
        </w:tc>
        <w:tc>
          <w:tcPr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Дата и время регистрации заявки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  <w:tr>
        <w:tblPrEx/>
        <w:trPr>
          <w:tblCellSpacing w:w="0" w:type="dxa"/>
          <w:trHeight w:val="372"/>
        </w:trPr>
        <w:tc>
          <w:tcPr>
            <w:tcW w:w="567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1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dfecff"/>
            <w:tcW w:w="1761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b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437611</w:t>
            </w:r>
            <w:r>
              <w:rPr>
                <w:b/>
                <w:sz w:val="24"/>
                <w:szCs w:val="24"/>
                <w:highlight w:val="white"/>
              </w:rPr>
            </w:r>
            <w:r>
              <w:rPr>
                <w:b/>
                <w:sz w:val="24"/>
                <w:szCs w:val="24"/>
                <w:highlight w:val="white"/>
              </w:rPr>
            </w:r>
          </w:p>
        </w:tc>
        <w:tc>
          <w:tcPr>
            <w:shd w:val="clear" w:color="ffffff" w:fill="dfecff"/>
            <w:tcW w:w="2672" w:type="pct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11.11.2025 09:37:56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МСК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ind w:right="-24"/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spacing w:line="0" w:lineRule="atLeast"/>
        <w:rPr>
          <w:b/>
          <w:sz w:val="22"/>
          <w:szCs w:val="22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 xml:space="preserve">ИНФОРМАЦИЯ О РАНЕЕ ПРИНЯТЫХ РЕШЕНИЯХ ЗАКУПОЧНОЙ КОМИССИЕЙ:</w:t>
      </w:r>
      <w:r>
        <w:rPr>
          <w:b/>
          <w:sz w:val="22"/>
          <w:szCs w:val="22"/>
          <w:highlight w:val="white"/>
        </w:rPr>
      </w:r>
      <w:r>
        <w:rPr>
          <w:b/>
          <w:sz w:val="22"/>
          <w:szCs w:val="22"/>
          <w:highlight w:val="white"/>
        </w:rPr>
      </w:r>
    </w:p>
    <w:p>
      <w:pPr>
        <w:jc w:val="both"/>
        <w:tabs>
          <w:tab w:val="left" w:pos="567" w:leader="none"/>
          <w:tab w:val="left" w:pos="851" w:leader="none"/>
        </w:tabs>
        <w:rPr>
          <w:sz w:val="22"/>
          <w:szCs w:val="22"/>
          <w:highlight w:val="white"/>
        </w:rPr>
      </w:pPr>
      <w:r>
        <w:rPr>
          <w:sz w:val="26"/>
          <w:szCs w:val="26"/>
          <w:highlight w:val="white"/>
        </w:rPr>
        <w:t xml:space="preserve">На заседании Закупочной комиссии по рассмотрению общих частей Заявок </w:t>
      </w:r>
      <w:r>
        <w:rPr>
          <w:bCs/>
          <w:sz w:val="26"/>
          <w:szCs w:val="26"/>
          <w:highlight w:val="white"/>
        </w:rPr>
        <w:t xml:space="preserve">и о проведении переторжки</w:t>
      </w:r>
      <w:r>
        <w:rPr>
          <w:sz w:val="26"/>
          <w:szCs w:val="26"/>
          <w:highlight w:val="white"/>
        </w:rPr>
        <w:t xml:space="preserve"> (протокол от 20.11</w:t>
      </w:r>
      <w:r>
        <w:rPr>
          <w:sz w:val="26"/>
          <w:szCs w:val="26"/>
          <w:highlight w:val="white"/>
        </w:rPr>
        <w:t xml:space="preserve">.2025 № 2</w:t>
      </w:r>
      <w:r>
        <w:rPr>
          <w:sz w:val="26"/>
          <w:szCs w:val="26"/>
          <w:highlight w:val="white"/>
        </w:rPr>
        <w:t xml:space="preserve">) общая часть и </w:t>
      </w:r>
      <w:r>
        <w:rPr>
          <w:bCs/>
          <w:sz w:val="26"/>
          <w:szCs w:val="26"/>
          <w:highlight w:val="white"/>
        </w:rPr>
        <w:t xml:space="preserve">ценовое предложение</w:t>
      </w:r>
      <w:r>
        <w:rPr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Заявки Участника </w:t>
      </w:r>
      <w:r>
        <w:rPr>
          <w:sz w:val="26"/>
          <w:szCs w:val="26"/>
          <w:highlight w:val="white"/>
        </w:rPr>
        <w:t xml:space="preserve">№</w:t>
      </w:r>
      <w:r>
        <w:rPr>
          <w:sz w:val="26"/>
          <w:szCs w:val="26"/>
          <w:highlight w:val="white"/>
        </w:rPr>
        <w:t xml:space="preserve">437611</w:t>
      </w:r>
      <w:r>
        <w:rPr>
          <w:color w:val="000000"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признана соответствующей. </w:t>
      </w:r>
      <w:r>
        <w:rPr>
          <w:bCs/>
          <w:sz w:val="26"/>
          <w:szCs w:val="26"/>
          <w:highlight w:val="white"/>
        </w:rPr>
        <w:t xml:space="preserve">Назначена переторжка с момента публикации в ЕИС протокола рассмотрения общих частей заявок к которой допущен участник </w:t>
      </w:r>
      <w:r>
        <w:rPr>
          <w:sz w:val="26"/>
          <w:szCs w:val="26"/>
          <w:highlight w:val="white"/>
        </w:rPr>
        <w:t xml:space="preserve">№</w:t>
      </w:r>
      <w:r>
        <w:rPr>
          <w:sz w:val="26"/>
          <w:szCs w:val="26"/>
          <w:highlight w:val="white"/>
        </w:rPr>
        <w:t xml:space="preserve">437611</w:t>
      </w:r>
      <w:r>
        <w:rPr>
          <w:sz w:val="26"/>
          <w:szCs w:val="26"/>
          <w:highlight w:val="white"/>
        </w:rPr>
        <w:t xml:space="preserve">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ind w:right="-24"/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ind w:right="-24"/>
        <w:jc w:val="both"/>
        <w:keepNext/>
        <w:rPr>
          <w:b/>
          <w:bCs/>
          <w:sz w:val="26"/>
          <w:szCs w:val="26"/>
          <w:highlight w:val="white"/>
          <w:u w:val="single"/>
        </w:rPr>
      </w:pPr>
      <w:r>
        <w:rPr>
          <w:b/>
          <w:bCs/>
          <w:sz w:val="26"/>
          <w:szCs w:val="26"/>
          <w:highlight w:val="white"/>
          <w:u w:val="single"/>
        </w:rPr>
        <w:t xml:space="preserve">ВОПРОСЫ ПОВЕСТКИ ДНЯ:</w:t>
      </w:r>
      <w:r>
        <w:rPr>
          <w:b/>
          <w:bCs/>
          <w:sz w:val="26"/>
          <w:szCs w:val="26"/>
          <w:highlight w:val="white"/>
          <w:u w:val="single"/>
        </w:rPr>
      </w:r>
      <w:r>
        <w:rPr>
          <w:b/>
          <w:bCs/>
          <w:sz w:val="26"/>
          <w:szCs w:val="26"/>
          <w:highlight w:val="white"/>
          <w:u w:val="singl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    О результатах проведенной переторжки.</w:t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    О признании закупки</w:t>
      </w:r>
      <w:r>
        <w:rPr>
          <w:b/>
          <w:i/>
          <w:sz w:val="26"/>
          <w:szCs w:val="26"/>
          <w:highlight w:val="white"/>
        </w:rPr>
        <w:t xml:space="preserve"> несостоявшейся.</w:t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numPr>
          <w:ilvl w:val="0"/>
          <w:numId w:val="41"/>
        </w:numPr>
        <w:ind w:left="709" w:hanging="709"/>
        <w:tabs>
          <w:tab w:val="left" w:pos="283" w:leader="none"/>
          <w:tab w:val="left" w:pos="850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    </w:t>
      </w:r>
      <w:r>
        <w:rPr>
          <w:b/>
          <w:i/>
          <w:sz w:val="26"/>
          <w:szCs w:val="26"/>
          <w:highlight w:val="white"/>
        </w:rPr>
        <w:t xml:space="preserve">О заключении договора.</w:t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numPr>
          <w:ilvl w:val="0"/>
          <w:numId w:val="42"/>
        </w:numPr>
        <w:ind w:left="709" w:hanging="709"/>
        <w:tabs>
          <w:tab w:val="left" w:pos="283" w:leader="none"/>
          <w:tab w:val="left" w:pos="850" w:leader="none"/>
        </w:tabs>
        <w:rPr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О результатах проведенной переторжки.</w:t>
      </w:r>
      <w:r>
        <w:rPr>
          <w:highlight w:val="white"/>
        </w:rPr>
      </w:r>
      <w:r>
        <w:rPr>
          <w:highlight w:val="white"/>
        </w:rPr>
      </w:r>
    </w:p>
    <w:p>
      <w:pPr>
        <w:ind w:right="-23"/>
        <w:jc w:val="both"/>
        <w:rPr>
          <w:b/>
          <w:sz w:val="26"/>
          <w:szCs w:val="26"/>
          <w:highlight w:val="white"/>
        </w:rPr>
        <w:outlineLvl w:val="1"/>
      </w:pPr>
      <w:r>
        <w:rPr>
          <w:bCs/>
          <w:sz w:val="26"/>
          <w:szCs w:val="26"/>
          <w:highlight w:val="white"/>
        </w:rPr>
        <w:t xml:space="preserve">На процедуру переторжки проводимую в установленное время на электронной торговой площадке </w:t>
      </w:r>
      <w:r>
        <w:rPr>
          <w:sz w:val="26"/>
          <w:szCs w:val="26"/>
          <w:highlight w:val="white"/>
        </w:rPr>
        <w:t xml:space="preserve">«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»</w:t>
      </w:r>
      <w:r>
        <w:rPr>
          <w:bCs/>
          <w:sz w:val="26"/>
          <w:szCs w:val="26"/>
          <w:highlight w:val="white"/>
        </w:rPr>
        <w:t xml:space="preserve"> от участника заку</w:t>
      </w:r>
      <w:r>
        <w:rPr>
          <w:bCs/>
          <w:sz w:val="26"/>
          <w:szCs w:val="26"/>
          <w:highlight w:val="white"/>
        </w:rPr>
        <w:t xml:space="preserve">пки </w:t>
      </w:r>
      <w:r>
        <w:rPr>
          <w:sz w:val="26"/>
          <w:szCs w:val="26"/>
          <w:highlight w:val="white"/>
        </w:rPr>
        <w:t xml:space="preserve">№</w:t>
      </w:r>
      <w:r>
        <w:rPr>
          <w:sz w:val="26"/>
          <w:szCs w:val="26"/>
          <w:highlight w:val="white"/>
        </w:rPr>
        <w:t xml:space="preserve">437611</w:t>
      </w:r>
      <w:r>
        <w:rPr>
          <w:bCs/>
          <w:sz w:val="26"/>
          <w:szCs w:val="26"/>
          <w:highlight w:val="white"/>
        </w:rPr>
        <w:t xml:space="preserve"> поступило предложение о снижении начальной (максимальной) цены. </w:t>
      </w:r>
      <w:r>
        <w:rPr>
          <w:b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</w:rPr>
      </w:r>
    </w:p>
    <w:p>
      <w:pPr>
        <w:ind w:right="-23"/>
        <w:jc w:val="both"/>
        <w:spacing w:after="57"/>
        <w:rPr>
          <w:sz w:val="26"/>
          <w:szCs w:val="26"/>
          <w:highlight w:val="white"/>
        </w:rPr>
        <w:outlineLvl w:val="1"/>
      </w:pPr>
      <w:r>
        <w:rPr>
          <w:sz w:val="26"/>
          <w:szCs w:val="26"/>
          <w:highlight w:val="white"/>
        </w:rPr>
        <w:t xml:space="preserve">Результаты после проведенной переторжки: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tbl>
      <w:tblPr>
        <w:tblW w:w="10205" w:type="dxa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1417"/>
        <w:gridCol w:w="4018"/>
        <w:gridCol w:w="4344"/>
      </w:tblGrid>
      <w:tr>
        <w:tblPrEx/>
        <w:trPr>
          <w:trHeight w:val="1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6"/>
                <w:highlight w:val="white"/>
              </w:rPr>
              <w:t xml:space="preserve">№ п/п</w:t>
            </w:r>
            <w:r>
              <w:rPr>
                <w:b/>
                <w:sz w:val="24"/>
                <w:szCs w:val="26"/>
                <w:highlight w:val="white"/>
              </w:rPr>
            </w:r>
            <w:r>
              <w:rPr>
                <w:b/>
                <w:sz w:val="24"/>
                <w:szCs w:val="2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6"/>
                <w:highlight w:val="white"/>
              </w:rPr>
            </w:pPr>
            <w:r>
              <w:rPr>
                <w:b/>
                <w:sz w:val="24"/>
                <w:szCs w:val="26"/>
                <w:highlight w:val="white"/>
              </w:rPr>
              <w:t xml:space="preserve">Рег. номер заявки</w:t>
            </w:r>
            <w:r>
              <w:rPr>
                <w:b/>
                <w:sz w:val="24"/>
                <w:szCs w:val="26"/>
                <w:highlight w:val="white"/>
              </w:rPr>
            </w:r>
            <w:r>
              <w:rPr>
                <w:b/>
                <w:sz w:val="24"/>
                <w:szCs w:val="2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18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6"/>
                <w:highlight w:val="white"/>
              </w:rPr>
              <w:t xml:space="preserve">Первоначальное предложение о</w:t>
            </w:r>
            <w:r>
              <w:rPr>
                <w:b/>
                <w:bCs/>
                <w:sz w:val="24"/>
                <w:szCs w:val="26"/>
                <w:highlight w:val="white"/>
              </w:rPr>
              <w:t xml:space="preserve"> цене договора</w:t>
            </w:r>
            <w:r>
              <w:rPr>
                <w:b/>
                <w:bCs/>
                <w:sz w:val="24"/>
                <w:szCs w:val="26"/>
                <w:highlight w:val="none"/>
              </w:rPr>
              <w:t xml:space="preserve">,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рублей без НДС</w:t>
            </w:r>
            <w:r>
              <w:rPr>
                <w:b/>
                <w:sz w:val="24"/>
                <w:szCs w:val="26"/>
                <w:highlight w:val="white"/>
              </w:rPr>
            </w:r>
            <w:r>
              <w:rPr>
                <w:b/>
                <w:sz w:val="24"/>
                <w:szCs w:val="2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4" w:type="dxa"/>
            <w:vAlign w:val="center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6"/>
                <w:highlight w:val="white"/>
              </w:rPr>
            </w:pPr>
            <w:r>
              <w:rPr>
                <w:b/>
                <w:bCs/>
                <w:sz w:val="24"/>
                <w:szCs w:val="26"/>
                <w:highlight w:val="white"/>
              </w:rPr>
              <w:t xml:space="preserve">Окончательное предложение о </w:t>
            </w:r>
            <w:r>
              <w:rPr>
                <w:b/>
                <w:bCs/>
                <w:sz w:val="24"/>
                <w:szCs w:val="26"/>
                <w:highlight w:val="white"/>
              </w:rPr>
              <w:t xml:space="preserve"> цене договора (после проведенной переторжки)</w:t>
            </w:r>
            <w:r>
              <w:rPr>
                <w:b/>
                <w:bCs/>
                <w:sz w:val="24"/>
                <w:szCs w:val="26"/>
                <w:highlight w:val="none"/>
              </w:rPr>
              <w:t xml:space="preserve">, </w:t>
            </w:r>
            <w:r>
              <w:rPr>
                <w:b/>
                <w:bCs/>
                <w:sz w:val="24"/>
                <w:szCs w:val="24"/>
                <w:highlight w:val="white"/>
              </w:rPr>
              <w:t xml:space="preserve">рублей без НДС</w:t>
            </w:r>
            <w:r>
              <w:rPr>
                <w:b/>
                <w:sz w:val="24"/>
                <w:szCs w:val="26"/>
                <w:highlight w:val="white"/>
              </w:rPr>
            </w:r>
            <w:r>
              <w:rPr>
                <w:b/>
                <w:sz w:val="24"/>
                <w:szCs w:val="26"/>
                <w:highlight w:val="white"/>
              </w:rPr>
            </w:r>
          </w:p>
        </w:tc>
      </w:tr>
      <w:tr>
        <w:tblPrEx/>
        <w:trPr>
          <w:trHeight w:val="39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8" w:type="dxa"/>
              <w:top w:w="28" w:type="dxa"/>
              <w:right w:w="28" w:type="dxa"/>
              <w:bottom w:w="28" w:type="dxa"/>
            </w:tcMar>
            <w:tcW w:w="42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rPr>
                <w:sz w:val="24"/>
                <w:szCs w:val="26"/>
                <w:highlight w:val="white"/>
              </w:rPr>
            </w:pPr>
            <w:r>
              <w:rPr>
                <w:sz w:val="24"/>
                <w:szCs w:val="26"/>
                <w:highlight w:val="white"/>
              </w:rPr>
              <w:t xml:space="preserve">1</w:t>
            </w:r>
            <w:r>
              <w:rPr>
                <w:sz w:val="24"/>
                <w:szCs w:val="26"/>
                <w:highlight w:val="white"/>
              </w:rPr>
            </w:r>
            <w:r>
              <w:rPr>
                <w:sz w:val="24"/>
                <w:szCs w:val="2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themeColor="background1" w:fill="ffffff" w:themeFill="background1"/>
              <w:rPr>
                <w:b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</w:r>
            <w:r>
              <w:rPr>
                <w:sz w:val="26"/>
                <w:szCs w:val="26"/>
                <w:highlight w:val="white"/>
              </w:rPr>
              <w:t xml:space="preserve">437611</w:t>
            </w:r>
            <w:r>
              <w:rPr>
                <w:b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b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018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bCs/>
                <w:sz w:val="26"/>
                <w:szCs w:val="26"/>
                <w:highlight w:val="white"/>
              </w:rPr>
            </w:r>
            <w:r>
              <w:rPr>
                <w:bCs/>
                <w:sz w:val="26"/>
                <w:szCs w:val="26"/>
                <w:highlight w:val="white"/>
              </w:rPr>
              <w:t xml:space="preserve">10 290 000,00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44" w:type="dxa"/>
            <w:vAlign w:val="center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  <w:highlight w:val="white"/>
              </w:rPr>
            </w:pPr>
            <w:r>
              <w:rPr>
                <w:bCs/>
                <w:sz w:val="26"/>
                <w:szCs w:val="26"/>
                <w:highlight w:val="white"/>
              </w:rPr>
            </w:r>
            <w:r>
              <w:rPr>
                <w:bCs/>
                <w:sz w:val="26"/>
                <w:szCs w:val="26"/>
                <w:highlight w:val="white"/>
              </w:rPr>
              <w:t xml:space="preserve">9 570 243,20</w:t>
            </w:r>
            <w:r>
              <w:rPr>
                <w:bCs/>
                <w:sz w:val="26"/>
                <w:szCs w:val="26"/>
                <w:highlight w:val="white"/>
              </w:rPr>
              <w:t xml:space="preserve"> </w:t>
            </w:r>
            <w:r>
              <w:rPr>
                <w:sz w:val="24"/>
                <w:szCs w:val="24"/>
                <w:highlight w:val="white"/>
              </w:rPr>
            </w:r>
            <w:r>
              <w:rPr>
                <w:sz w:val="24"/>
                <w:szCs w:val="24"/>
                <w:highlight w:val="white"/>
              </w:rPr>
            </w:r>
          </w:p>
        </w:tc>
      </w:tr>
    </w:tbl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bCs/>
          <w:i/>
          <w:sz w:val="26"/>
          <w:szCs w:val="26"/>
          <w:highlight w:val="yellow"/>
        </w:rPr>
      </w:r>
      <w:r>
        <w:rPr>
          <w:bCs/>
          <w:sz w:val="26"/>
          <w:szCs w:val="26"/>
        </w:rPr>
        <w:t xml:space="preserve">Предлагается признать пе</w:t>
      </w:r>
      <w:r>
        <w:rPr>
          <w:bCs/>
          <w:sz w:val="26"/>
          <w:szCs w:val="26"/>
          <w:highlight w:val="white"/>
        </w:rPr>
        <w:t xml:space="preserve">реторжку </w:t>
      </w:r>
      <w:r>
        <w:rPr>
          <w:b/>
          <w:bCs/>
          <w:sz w:val="26"/>
          <w:szCs w:val="26"/>
          <w:highlight w:val="white"/>
        </w:rPr>
        <w:t xml:space="preserve">с</w:t>
      </w:r>
      <w:r>
        <w:rPr>
          <w:b/>
          <w:bCs/>
          <w:sz w:val="26"/>
          <w:szCs w:val="26"/>
          <w:highlight w:val="white"/>
        </w:rPr>
        <w:t xml:space="preserve">остоявшейся</w:t>
      </w:r>
      <w:r>
        <w:rPr>
          <w:b/>
          <w:bCs/>
          <w:sz w:val="26"/>
          <w:szCs w:val="26"/>
          <w:highlight w:val="white"/>
        </w:rPr>
        <w:t xml:space="preserve">.</w:t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ind w:right="-24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numPr>
          <w:ilvl w:val="0"/>
          <w:numId w:val="42"/>
        </w:numPr>
        <w:ind w:left="0" w:right="-24" w:firstLine="0"/>
        <w:jc w:val="both"/>
        <w:keepNext/>
        <w:widowControl/>
        <w:tabs>
          <w:tab w:val="left" w:pos="567" w:leader="none"/>
          <w:tab w:val="left" w:pos="851" w:leader="none"/>
        </w:tabs>
        <w:rPr>
          <w:b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О признании закупки несостоявшейся.</w:t>
      </w:r>
      <w:r>
        <w:rPr>
          <w:b/>
          <w:i/>
          <w:sz w:val="26"/>
          <w:szCs w:val="26"/>
          <w:highlight w:val="white"/>
        </w:rPr>
      </w:r>
      <w:r>
        <w:rPr>
          <w:b/>
          <w:i/>
          <w:sz w:val="26"/>
          <w:szCs w:val="26"/>
          <w:highlight w:val="white"/>
        </w:rPr>
      </w:r>
    </w:p>
    <w:p>
      <w:pPr>
        <w:jc w:val="both"/>
        <w:tabs>
          <w:tab w:val="left" w:pos="567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</w:t>
      </w:r>
      <w:r>
        <w:rPr>
          <w:sz w:val="26"/>
          <w:szCs w:val="26"/>
          <w:highlight w:val="white"/>
        </w:rPr>
        <w:t xml:space="preserve">пп</w:t>
      </w:r>
      <w:r>
        <w:rPr>
          <w:sz w:val="26"/>
          <w:szCs w:val="26"/>
          <w:highlight w:val="white"/>
        </w:rPr>
        <w:t xml:space="preserve">. </w:t>
      </w:r>
      <w:r>
        <w:rPr>
          <w:b/>
          <w:sz w:val="26"/>
          <w:szCs w:val="26"/>
          <w:highlight w:val="white"/>
        </w:rPr>
        <w:t xml:space="preserve">«а»</w:t>
      </w:r>
      <w:r>
        <w:rPr>
          <w:sz w:val="26"/>
          <w:szCs w:val="26"/>
          <w:highlight w:val="white"/>
        </w:rPr>
        <w:t xml:space="preserve"> п. 7.5.1 Единого Стандарта закупок ПАО «</w:t>
      </w:r>
      <w:r>
        <w:rPr>
          <w:sz w:val="26"/>
          <w:szCs w:val="26"/>
          <w:highlight w:val="white"/>
        </w:rPr>
        <w:t xml:space="preserve">Россети</w:t>
      </w:r>
      <w:r>
        <w:rPr>
          <w:sz w:val="26"/>
          <w:szCs w:val="26"/>
          <w:highlight w:val="white"/>
        </w:rPr>
        <w:t xml:space="preserve">» (далее – Стандарт, Положение о закупке),</w:t>
      </w:r>
      <w:r>
        <w:rPr>
          <w:bCs/>
          <w:sz w:val="26"/>
          <w:szCs w:val="26"/>
          <w:highlight w:val="white"/>
        </w:rPr>
        <w:t xml:space="preserve"> в котором установлено, </w:t>
      </w:r>
      <w:r>
        <w:rPr>
          <w:sz w:val="26"/>
          <w:szCs w:val="26"/>
          <w:highlight w:val="white"/>
        </w:rPr>
        <w:t xml:space="preserve">что: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tabs>
          <w:tab w:val="left" w:pos="567" w:leader="none"/>
        </w:tabs>
        <w:rPr>
          <w:i/>
          <w:sz w:val="26"/>
          <w:szCs w:val="26"/>
          <w:highlight w:val="white"/>
        </w:rPr>
      </w:pPr>
      <w:r>
        <w:rPr>
          <w:highlight w:val="white"/>
        </w:rPr>
      </w:r>
      <w:bookmarkStart w:id="0" w:name="_Ref298412548"/>
      <w:r>
        <w:rPr>
          <w:i/>
          <w:sz w:val="26"/>
          <w:szCs w:val="26"/>
          <w:highlight w:val="white"/>
        </w:rPr>
        <w:t xml:space="preserve">«Процедура закупки признается несостоявшейся в следующих случаях:</w:t>
      </w:r>
      <w:bookmarkEnd w:id="0"/>
      <w:r>
        <w:rPr>
          <w:i/>
          <w:sz w:val="26"/>
          <w:szCs w:val="26"/>
          <w:highlight w:val="white"/>
        </w:rPr>
      </w:r>
      <w:r>
        <w:rPr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bCs/>
          <w:i/>
          <w:sz w:val="26"/>
          <w:szCs w:val="26"/>
          <w:highlight w:val="white"/>
        </w:rPr>
        <w:t xml:space="preserve">если по окончании срока подачи заявок подана только одна заявка или не подано ни одной заявки;</w:t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white"/>
        </w:rPr>
      </w:pPr>
      <w:r>
        <w:rPr>
          <w:highlight w:val="white"/>
        </w:rPr>
      </w:r>
      <w:bookmarkStart w:id="1" w:name="_Ref510770463"/>
      <w:r>
        <w:rPr>
          <w:i/>
          <w:sz w:val="26"/>
          <w:szCs w:val="26"/>
          <w:highlight w:val="white"/>
        </w:rPr>
        <w:t xml:space="preserve">если по результатам рассмотрения заявок принято решение об отказе в допуске всем участникам зак</w:t>
      </w:r>
      <w:r>
        <w:rPr>
          <w:i/>
          <w:sz w:val="26"/>
          <w:szCs w:val="26"/>
          <w:highlight w:val="white"/>
        </w:rPr>
        <w:t xml:space="preserve">упки, подавшим заявки;</w:t>
      </w:r>
      <w:bookmarkEnd w:id="1"/>
      <w:r>
        <w:rPr>
          <w:i/>
          <w:sz w:val="26"/>
          <w:szCs w:val="26"/>
          <w:highlight w:val="white"/>
        </w:rPr>
      </w:r>
      <w:r>
        <w:rPr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white"/>
        </w:rPr>
      </w:pPr>
      <w:r>
        <w:rPr>
          <w:i/>
          <w:sz w:val="26"/>
          <w:szCs w:val="26"/>
          <w:highlight w:val="white"/>
        </w:rPr>
        <w:t xml:space="preserve">если по результатам рассмотрения заявок принято решение о допуске только одного участника закупки;</w:t>
      </w:r>
      <w:r>
        <w:rPr>
          <w:i/>
          <w:sz w:val="26"/>
          <w:szCs w:val="26"/>
          <w:highlight w:val="white"/>
        </w:rPr>
      </w:r>
      <w:r>
        <w:rPr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white"/>
        </w:rPr>
      </w:pPr>
      <w:r>
        <w:rPr>
          <w:i/>
          <w:sz w:val="26"/>
          <w:szCs w:val="26"/>
          <w:highlight w:val="white"/>
        </w:rPr>
        <w:t xml:space="preserve">если по результатам закупки от заключения договора уклонились участники закупки, обязанные заключить договор в соответствии с условиям</w:t>
      </w:r>
      <w:r>
        <w:rPr>
          <w:i/>
          <w:sz w:val="26"/>
          <w:szCs w:val="26"/>
          <w:highlight w:val="white"/>
        </w:rPr>
        <w:t xml:space="preserve">и извещения и (или) документации о закупке.</w:t>
      </w:r>
      <w:r>
        <w:rPr>
          <w:i/>
          <w:sz w:val="26"/>
          <w:szCs w:val="26"/>
          <w:highlight w:val="white"/>
        </w:rPr>
      </w:r>
      <w:r>
        <w:rPr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18"/>
        </w:numPr>
        <w:ind w:left="0" w:firstLine="0"/>
        <w:widowControl w:val="off"/>
        <w:tabs>
          <w:tab w:val="clear" w:pos="1703" w:leader="none"/>
          <w:tab w:val="clear" w:pos="4399" w:leader="none"/>
        </w:tabs>
        <w:rPr>
          <w:i/>
          <w:sz w:val="26"/>
          <w:szCs w:val="26"/>
          <w:highlight w:val="white"/>
        </w:rPr>
      </w:pPr>
      <w:r>
        <w:rPr>
          <w:i/>
          <w:sz w:val="26"/>
          <w:szCs w:val="26"/>
          <w:highlight w:val="white"/>
        </w:rPr>
        <w:t xml:space="preserve">если ни один участник не подал предложения о снижении цены договора при проведении аукциона,</w:t>
      </w:r>
      <w:r>
        <w:rPr>
          <w:i/>
          <w:sz w:val="26"/>
          <w:szCs w:val="26"/>
          <w:highlight w:val="white"/>
        </w:rPr>
      </w:r>
      <w:r>
        <w:rPr>
          <w:i/>
          <w:sz w:val="26"/>
          <w:szCs w:val="26"/>
          <w:highlight w:val="white"/>
        </w:rPr>
      </w:r>
    </w:p>
    <w:p>
      <w:pPr>
        <w:jc w:val="both"/>
        <w:tabs>
          <w:tab w:val="left" w:pos="567" w:leader="none"/>
        </w:tabs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настоящая закупка призн</w:t>
      </w:r>
      <w:r>
        <w:rPr>
          <w:sz w:val="26"/>
          <w:szCs w:val="26"/>
          <w:highlight w:val="white"/>
        </w:rPr>
        <w:t xml:space="preserve">ается </w:t>
      </w:r>
      <w:r>
        <w:rPr>
          <w:b/>
          <w:sz w:val="26"/>
          <w:szCs w:val="26"/>
          <w:highlight w:val="white"/>
        </w:rPr>
        <w:t xml:space="preserve">несостоявшейся.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tabs>
          <w:tab w:val="left" w:pos="1134" w:leader="none"/>
        </w:tabs>
        <w:rPr>
          <w:b/>
          <w:bCs/>
          <w:iCs/>
          <w:sz w:val="26"/>
          <w:szCs w:val="26"/>
          <w:highlight w:val="white"/>
        </w:rPr>
      </w:pPr>
      <w:r>
        <w:rPr>
          <w:b/>
          <w:bCs/>
          <w:iCs/>
          <w:sz w:val="26"/>
          <w:szCs w:val="26"/>
          <w:highlight w:val="white"/>
        </w:rPr>
      </w:r>
      <w:r>
        <w:rPr>
          <w:b/>
          <w:bCs/>
          <w:iCs/>
          <w:sz w:val="26"/>
          <w:szCs w:val="26"/>
          <w:highlight w:val="white"/>
        </w:rPr>
      </w:r>
      <w:r>
        <w:rPr>
          <w:b/>
          <w:bCs/>
          <w:iCs/>
          <w:sz w:val="26"/>
          <w:szCs w:val="26"/>
          <w:highlight w:val="white"/>
        </w:rPr>
      </w:r>
    </w:p>
    <w:p>
      <w:pPr>
        <w:pStyle w:val="971"/>
        <w:numPr>
          <w:ilvl w:val="0"/>
          <w:numId w:val="42"/>
        </w:numPr>
        <w:ind w:left="0" w:firstLine="0"/>
        <w:jc w:val="both"/>
        <w:tabs>
          <w:tab w:val="left" w:pos="567" w:leader="none"/>
        </w:tabs>
        <w:rPr>
          <w:rFonts w:ascii="Times New Roman" w:hAnsi="Times New Roman" w:cs="Times New Roman"/>
          <w:b/>
          <w:i/>
          <w:sz w:val="26"/>
          <w:szCs w:val="26"/>
          <w:highlight w:val="white"/>
        </w:rPr>
        <w:outlineLvl w:val="1"/>
      </w:pPr>
      <w:r>
        <w:rPr>
          <w:rFonts w:ascii="Times New Roman" w:hAnsi="Times New Roman" w:cs="Times New Roman"/>
          <w:b/>
          <w:i/>
          <w:sz w:val="26"/>
          <w:szCs w:val="26"/>
          <w:highlight w:val="white"/>
        </w:rPr>
        <w:t xml:space="preserve">О заключении договора. </w:t>
      </w:r>
      <w:r>
        <w:rPr>
          <w:rFonts w:ascii="Times New Roman" w:hAnsi="Times New Roman" w:cs="Times New Roman"/>
          <w:b/>
          <w:i/>
          <w:sz w:val="26"/>
          <w:szCs w:val="26"/>
          <w:highlight w:val="white"/>
        </w:rPr>
      </w:r>
      <w:r>
        <w:rPr>
          <w:rFonts w:ascii="Times New Roman" w:hAnsi="Times New Roman" w:cs="Times New Roman"/>
          <w:b/>
          <w:i/>
          <w:sz w:val="26"/>
          <w:szCs w:val="26"/>
          <w:highlight w:val="white"/>
        </w:rPr>
      </w:r>
    </w:p>
    <w:p>
      <w:pPr>
        <w:pStyle w:val="1001"/>
        <w:numPr>
          <w:ilvl w:val="0"/>
          <w:numId w:val="0"/>
        </w:numPr>
        <w:widowControl w:val="off"/>
        <w:tabs>
          <w:tab w:val="left" w:pos="1417" w:leader="none"/>
          <w:tab w:val="left" w:pos="1559" w:leader="none"/>
        </w:tabs>
        <w:rPr>
          <w:bCs/>
          <w:i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В пункте 7.5.3 Положения о закупке оговорено, что </w:t>
      </w:r>
      <w:r>
        <w:rPr>
          <w:i/>
          <w:sz w:val="26"/>
          <w:szCs w:val="26"/>
          <w:highlight w:val="white"/>
        </w:rPr>
        <w:t xml:space="preserve">«</w:t>
      </w:r>
      <w:r>
        <w:rPr>
          <w:i/>
          <w:iCs/>
          <w:sz w:val="26"/>
          <w:szCs w:val="26"/>
          <w:highlight w:val="white"/>
        </w:rPr>
        <w:t xml:space="preserve">Если при проведении любой конкурентной закупки была представлена только одна заявка, либо принято решение о допуске только одного участника, то договор с таким участником закупки подлежит заключению, при о</w:t>
      </w:r>
      <w:r>
        <w:rPr>
          <w:i/>
          <w:iCs/>
          <w:sz w:val="26"/>
          <w:szCs w:val="26"/>
          <w:highlight w:val="white"/>
        </w:rPr>
        <w:t xml:space="preserve">дновременном соблюдении следующих условий: </w:t>
      </w:r>
      <w:r>
        <w:rPr>
          <w:bCs/>
          <w:i/>
          <w:sz w:val="26"/>
          <w:szCs w:val="26"/>
          <w:highlight w:val="white"/>
        </w:rPr>
      </w:r>
      <w:r>
        <w:rPr>
          <w:bCs/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2" w:leader="none"/>
          <w:tab w:val="left" w:pos="1559" w:leader="none"/>
        </w:tabs>
        <w:rPr>
          <w:bCs/>
          <w:i/>
          <w:sz w:val="26"/>
          <w:szCs w:val="26"/>
          <w:highlight w:val="white"/>
        </w:rPr>
      </w:pPr>
      <w:r>
        <w:rPr>
          <w:i/>
          <w:iCs/>
          <w:sz w:val="26"/>
          <w:szCs w:val="26"/>
          <w:highlight w:val="white"/>
        </w:rPr>
        <w:t xml:space="preserve">от Инициатора закупки получена информация о нецелесообразности проведения повторной процедуры закупки;</w:t>
      </w:r>
      <w:r>
        <w:rPr>
          <w:bCs/>
          <w:i/>
          <w:sz w:val="26"/>
          <w:szCs w:val="26"/>
          <w:highlight w:val="white"/>
        </w:rPr>
      </w:r>
      <w:r>
        <w:rPr>
          <w:bCs/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3" w:leader="none"/>
        </w:tabs>
        <w:rPr>
          <w:bCs/>
          <w:i/>
          <w:sz w:val="26"/>
          <w:szCs w:val="26"/>
          <w:highlight w:val="white"/>
        </w:rPr>
      </w:pPr>
      <w:r>
        <w:rPr>
          <w:i/>
          <w:iCs/>
          <w:sz w:val="26"/>
          <w:szCs w:val="26"/>
          <w:highlight w:val="white"/>
        </w:rPr>
        <w:t xml:space="preserve">данный участник закупки соответствует требованиям документации о закупке, о чем принято соответствующее решение Закупочной комиссией;</w:t>
      </w:r>
      <w:r>
        <w:rPr>
          <w:bCs/>
          <w:i/>
          <w:sz w:val="26"/>
          <w:szCs w:val="26"/>
          <w:highlight w:val="white"/>
        </w:rPr>
      </w:r>
      <w:r>
        <w:rPr>
          <w:bCs/>
          <w:i/>
          <w:sz w:val="26"/>
          <w:szCs w:val="26"/>
          <w:highlight w:val="white"/>
        </w:rPr>
      </w:r>
    </w:p>
    <w:p>
      <w:pPr>
        <w:pStyle w:val="1003"/>
        <w:numPr>
          <w:ilvl w:val="4"/>
          <w:numId w:val="46"/>
        </w:numPr>
        <w:ind w:left="0" w:firstLine="567"/>
        <w:widowControl w:val="off"/>
        <w:tabs>
          <w:tab w:val="left" w:pos="993" w:leader="none"/>
        </w:tabs>
        <w:rPr>
          <w:bCs/>
          <w:i/>
          <w:sz w:val="26"/>
          <w:szCs w:val="26"/>
          <w:highlight w:val="white"/>
        </w:rPr>
      </w:pPr>
      <w:r>
        <w:rPr>
          <w:i/>
          <w:iCs/>
          <w:sz w:val="26"/>
          <w:szCs w:val="26"/>
          <w:highlight w:val="white"/>
        </w:rPr>
        <w:t xml:space="preserve">проведена переторжка с одним участником, если это было предусмотрено закупочной документацией; </w:t>
      </w:r>
      <w:r>
        <w:rPr>
          <w:bCs/>
          <w:i/>
          <w:sz w:val="26"/>
          <w:szCs w:val="26"/>
          <w:highlight w:val="white"/>
        </w:rPr>
      </w:r>
      <w:r>
        <w:rPr>
          <w:bCs/>
          <w:i/>
          <w:sz w:val="26"/>
          <w:szCs w:val="26"/>
          <w:highlight w:val="white"/>
        </w:rPr>
      </w:r>
    </w:p>
    <w:p>
      <w:pPr>
        <w:pStyle w:val="1001"/>
        <w:numPr>
          <w:ilvl w:val="0"/>
          <w:numId w:val="0"/>
        </w:numPr>
        <w:widowControl w:val="off"/>
        <w:tabs>
          <w:tab w:val="left" w:pos="993" w:leader="none"/>
        </w:tabs>
        <w:rPr>
          <w:bCs/>
          <w:i/>
          <w:sz w:val="26"/>
          <w:szCs w:val="26"/>
          <w:highlight w:val="white"/>
        </w:rPr>
      </w:pPr>
      <w:r>
        <w:rPr>
          <w:i/>
          <w:iCs/>
          <w:sz w:val="26"/>
          <w:szCs w:val="26"/>
          <w:highlight w:val="white"/>
        </w:rPr>
        <w:t xml:space="preserve">договор заключается по цен</w:t>
      </w:r>
      <w:r>
        <w:rPr>
          <w:i/>
          <w:iCs/>
          <w:sz w:val="26"/>
          <w:szCs w:val="26"/>
          <w:highlight w:val="white"/>
        </w:rPr>
        <w:t xml:space="preserve">е, в объеме и на условиях, указанных таким единственным участником закупки в его заявке (а для аукциона – по согласованной сторонами цене, не превышающей начальную (максимальную) цену договора), в том числе полученных по результатам проведения переторжки, </w:t>
      </w:r>
      <w:r>
        <w:rPr>
          <w:i/>
          <w:iCs/>
          <w:sz w:val="26"/>
          <w:szCs w:val="26"/>
          <w:highlight w:val="white"/>
        </w:rPr>
        <w:t xml:space="preserve">если это было предусмотрено закупочной документацией), и/или на лучших для Заказчика условиях (в том числе достигнутых по результатам преддоговорных переговоров в случае их проведения).»</w:t>
      </w:r>
      <w:r>
        <w:rPr>
          <w:bCs/>
          <w:i/>
          <w:sz w:val="26"/>
          <w:szCs w:val="26"/>
          <w:highlight w:val="white"/>
        </w:rPr>
      </w:r>
      <w:r>
        <w:rPr>
          <w:bCs/>
          <w:i/>
          <w:sz w:val="26"/>
          <w:szCs w:val="26"/>
          <w:highlight w:val="white"/>
        </w:rPr>
      </w:r>
    </w:p>
    <w:p>
      <w:pPr>
        <w:contextualSpacing/>
        <w:jc w:val="both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п. 7.5.3 Положения о закупке предла</w:t>
      </w:r>
      <w:r>
        <w:rPr>
          <w:sz w:val="26"/>
          <w:szCs w:val="26"/>
          <w:highlight w:val="white"/>
        </w:rPr>
        <w:t xml:space="preserve">гаетс</w:t>
      </w:r>
      <w:r>
        <w:rPr>
          <w:sz w:val="26"/>
          <w:szCs w:val="26"/>
          <w:highlight w:val="white"/>
        </w:rPr>
        <w:t xml:space="preserve">я заключить</w:t>
      </w:r>
      <w:r>
        <w:rPr>
          <w:b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дого</w:t>
      </w:r>
      <w:r>
        <w:rPr>
          <w:sz w:val="26"/>
          <w:szCs w:val="26"/>
          <w:highlight w:val="white"/>
        </w:rPr>
        <w:t xml:space="preserve">вор </w:t>
      </w:r>
      <w:r>
        <w:rPr>
          <w:sz w:val="26"/>
          <w:szCs w:val="26"/>
          <w:highlight w:val="white"/>
          <w:shd w:val="clear" w:color="auto" w:fill="ffffff"/>
        </w:rPr>
        <w:t xml:space="preserve">по титулу:</w:t>
      </w:r>
      <w:r>
        <w:rPr>
          <w:b/>
          <w:bCs/>
          <w:sz w:val="26"/>
          <w:szCs w:val="26"/>
          <w:highlight w:val="white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Приобретение легкового автомобиля Нива Тревэл</w:t>
      </w:r>
      <w:r>
        <w:rPr>
          <w:b/>
          <w:bCs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с участником </w:t>
      </w:r>
      <w:r>
        <w:rPr>
          <w:b/>
          <w:sz w:val="26"/>
          <w:szCs w:val="26"/>
          <w:highlight w:val="white"/>
        </w:rPr>
        <w:t xml:space="preserve">№</w:t>
      </w:r>
      <w:r>
        <w:rPr>
          <w:sz w:val="26"/>
          <w:szCs w:val="26"/>
          <w:highlight w:val="white"/>
        </w:rPr>
        <w:t xml:space="preserve">437611</w:t>
      </w:r>
      <w:r>
        <w:rPr>
          <w:b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с ценой договора </w:t>
      </w:r>
      <w:r>
        <w:rPr>
          <w:bCs/>
          <w:sz w:val="26"/>
          <w:szCs w:val="26"/>
          <w:highlight w:val="white"/>
        </w:rPr>
        <w:t xml:space="preserve">9 570 243,20</w:t>
      </w:r>
      <w:r>
        <w:rPr>
          <w:bCs/>
          <w:sz w:val="26"/>
          <w:szCs w:val="26"/>
          <w:highlight w:val="white"/>
        </w:rPr>
        <w:t xml:space="preserve"> </w:t>
      </w:r>
      <w:r>
        <w:rPr>
          <w:bCs/>
          <w:sz w:val="26"/>
          <w:szCs w:val="26"/>
          <w:highlight w:val="white"/>
        </w:rPr>
        <w:t xml:space="preserve"> руб. без НДС / </w:t>
      </w:r>
      <w:r>
        <w:rPr>
          <w:bCs/>
          <w:sz w:val="26"/>
          <w:szCs w:val="26"/>
          <w:highlight w:val="white"/>
        </w:rPr>
        <w:t xml:space="preserve">11 508 000,00</w:t>
      </w:r>
      <w:r>
        <w:rPr>
          <w:bCs/>
          <w:sz w:val="26"/>
          <w:szCs w:val="26"/>
          <w:highlight w:val="white"/>
        </w:rPr>
        <w:t xml:space="preserve"> руб. с НДС </w:t>
      </w:r>
      <w:r>
        <w:rPr>
          <w:i/>
          <w:sz w:val="26"/>
          <w:szCs w:val="26"/>
          <w:highlight w:val="white"/>
        </w:rPr>
        <w:t xml:space="preserve">(снижение 6,99%).</w:t>
      </w:r>
      <w:r>
        <w:rPr>
          <w:sz w:val="26"/>
          <w:szCs w:val="26"/>
          <w:highlight w:val="white"/>
        </w:rPr>
        <w:t xml:space="preserve"> Остал</w:t>
      </w:r>
      <w:r>
        <w:rPr>
          <w:sz w:val="26"/>
          <w:szCs w:val="26"/>
          <w:highlight w:val="white"/>
        </w:rPr>
        <w:t xml:space="preserve">ьные условия в соответствии с извещением о проведении закупки </w:t>
      </w:r>
      <w:r>
        <w:rPr>
          <w:sz w:val="26"/>
          <w:szCs w:val="26"/>
          <w:highlight w:val="white"/>
        </w:rPr>
        <w:t xml:space="preserve">и </w:t>
      </w:r>
      <w:r>
        <w:rPr>
          <w:bCs/>
          <w:sz w:val="26"/>
          <w:szCs w:val="26"/>
          <w:highlight w:val="white"/>
        </w:rPr>
        <w:t xml:space="preserve">заявкой единственного участника.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jc w:val="both"/>
        <w:tabs>
          <w:tab w:val="left" w:pos="851" w:leader="none"/>
        </w:tabs>
        <w:rPr>
          <w:b/>
          <w:sz w:val="26"/>
          <w:szCs w:val="26"/>
          <w:highlight w:val="yellow"/>
        </w:rPr>
      </w:pPr>
      <w:r>
        <w:rPr>
          <w:b/>
          <w:sz w:val="26"/>
          <w:szCs w:val="26"/>
          <w:highlight w:val="yellow"/>
        </w:rPr>
      </w:r>
      <w:r>
        <w:rPr>
          <w:b/>
          <w:sz w:val="26"/>
          <w:szCs w:val="26"/>
          <w:highlight w:val="yellow"/>
        </w:rPr>
      </w:r>
      <w:r>
        <w:rPr>
          <w:b/>
          <w:sz w:val="26"/>
          <w:szCs w:val="26"/>
          <w:highlight w:val="yellow"/>
        </w:rPr>
      </w:r>
    </w:p>
    <w:p>
      <w:pPr>
        <w:jc w:val="both"/>
        <w:rPr>
          <w:b/>
          <w:sz w:val="26"/>
          <w:szCs w:val="26"/>
          <w:highlight w:val="white"/>
          <w:u w:val="single"/>
        </w:rPr>
        <w:outlineLvl w:val="1"/>
      </w:pPr>
      <w:r>
        <w:rPr>
          <w:b/>
          <w:sz w:val="26"/>
          <w:szCs w:val="26"/>
          <w:highlight w:val="white"/>
          <w:u w:val="single"/>
        </w:rPr>
        <w:t xml:space="preserve">РЕШИЛИ: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numPr>
          <w:ilvl w:val="0"/>
          <w:numId w:val="22"/>
        </w:numPr>
        <w:ind w:left="0" w:firstLine="0"/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О результатах проведенной переторжки.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spacing w:after="57"/>
        <w:tabs>
          <w:tab w:val="left" w:pos="284" w:leader="none"/>
        </w:tabs>
        <w:rPr>
          <w:b/>
          <w:bCs/>
          <w:sz w:val="26"/>
          <w:szCs w:val="26"/>
          <w:highlight w:val="white"/>
          <w:u w:val="single"/>
        </w:rPr>
        <w:outlineLvl w:val="1"/>
      </w:pPr>
      <w:r>
        <w:rPr>
          <w:sz w:val="26"/>
          <w:szCs w:val="26"/>
          <w:highlight w:val="white"/>
        </w:rPr>
        <w:t xml:space="preserve">Признать процедуру переторжки </w:t>
      </w:r>
      <w:r>
        <w:rPr>
          <w:b/>
          <w:bCs/>
          <w:sz w:val="26"/>
          <w:szCs w:val="26"/>
          <w:highlight w:val="white"/>
        </w:rPr>
        <w:t xml:space="preserve">состоявшейся</w:t>
      </w:r>
      <w:r>
        <w:rPr>
          <w:sz w:val="26"/>
          <w:szCs w:val="26"/>
          <w:highlight w:val="white"/>
        </w:rPr>
        <w:t xml:space="preserve">.</w:t>
      </w:r>
      <w:r>
        <w:rPr>
          <w:b/>
          <w:bCs/>
          <w:sz w:val="26"/>
          <w:szCs w:val="26"/>
          <w:highlight w:val="white"/>
          <w:u w:val="single"/>
        </w:rPr>
      </w:r>
      <w:r>
        <w:rPr>
          <w:b/>
          <w:bCs/>
          <w:sz w:val="26"/>
          <w:szCs w:val="26"/>
          <w:highlight w:val="white"/>
          <w:u w:val="single"/>
        </w:rPr>
      </w:r>
    </w:p>
    <w:p>
      <w:pPr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b/>
          <w:bCs/>
          <w:i/>
          <w:sz w:val="26"/>
          <w:szCs w:val="26"/>
          <w:highlight w:val="white"/>
        </w:rPr>
      </w:pP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  <w:r>
        <w:rPr>
          <w:b/>
          <w:bCs/>
          <w:i/>
          <w:sz w:val="26"/>
          <w:szCs w:val="26"/>
          <w:highlight w:val="white"/>
        </w:rPr>
      </w:r>
    </w:p>
    <w:p>
      <w:pPr>
        <w:numPr>
          <w:ilvl w:val="0"/>
          <w:numId w:val="22"/>
        </w:numPr>
        <w:ind w:left="0" w:firstLine="0"/>
        <w:jc w:val="both"/>
        <w:keepNext/>
        <w:widowControl/>
        <w:tabs>
          <w:tab w:val="left" w:pos="567" w:leader="none"/>
          <w:tab w:val="left" w:pos="709" w:leader="none"/>
          <w:tab w:val="left" w:pos="851" w:leader="none"/>
        </w:tabs>
        <w:rPr>
          <w:b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О признании закупки несостоявшимся.</w:t>
      </w:r>
      <w:r>
        <w:rPr>
          <w:b/>
          <w:i/>
          <w:sz w:val="26"/>
          <w:szCs w:val="26"/>
          <w:highlight w:val="white"/>
        </w:rPr>
      </w:r>
      <w:r>
        <w:rPr>
          <w:b/>
          <w:i/>
          <w:sz w:val="26"/>
          <w:szCs w:val="26"/>
          <w:highlight w:val="white"/>
        </w:rPr>
      </w:r>
    </w:p>
    <w:p>
      <w:pPr>
        <w:jc w:val="both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основании </w:t>
      </w:r>
      <w:r>
        <w:rPr>
          <w:sz w:val="26"/>
          <w:szCs w:val="26"/>
          <w:highlight w:val="white"/>
        </w:rPr>
        <w:t xml:space="preserve">пп</w:t>
      </w:r>
      <w:r>
        <w:rPr>
          <w:sz w:val="26"/>
          <w:szCs w:val="26"/>
          <w:highlight w:val="white"/>
        </w:rPr>
        <w:t xml:space="preserve">. а) п. 7.5.1 Положения о закупке настоящая закупка признается </w:t>
      </w:r>
      <w:r>
        <w:rPr>
          <w:b/>
          <w:sz w:val="26"/>
          <w:szCs w:val="26"/>
          <w:highlight w:val="white"/>
        </w:rPr>
        <w:t xml:space="preserve">несостоявшейся.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pStyle w:val="969"/>
        <w:numPr>
          <w:ilvl w:val="0"/>
          <w:numId w:val="22"/>
        </w:numPr>
        <w:contextualSpacing/>
        <w:ind w:left="0" w:firstLine="0"/>
        <w:spacing w:before="0" w:line="240" w:lineRule="auto"/>
        <w:widowControl w:val="off"/>
        <w:tabs>
          <w:tab w:val="left" w:pos="567" w:leader="none"/>
        </w:tabs>
        <w:rPr>
          <w:b/>
          <w:i/>
          <w:sz w:val="26"/>
          <w:szCs w:val="26"/>
          <w:highlight w:val="white"/>
        </w:rPr>
      </w:pPr>
      <w:r>
        <w:rPr>
          <w:b/>
          <w:i/>
          <w:sz w:val="26"/>
          <w:szCs w:val="26"/>
          <w:highlight w:val="white"/>
        </w:rPr>
        <w:t xml:space="preserve">О заключении догов</w:t>
      </w:r>
      <w:r>
        <w:rPr>
          <w:b/>
          <w:i/>
          <w:sz w:val="26"/>
          <w:szCs w:val="26"/>
          <w:highlight w:val="white"/>
        </w:rPr>
        <w:t xml:space="preserve">ора. </w:t>
      </w:r>
      <w:r>
        <w:rPr>
          <w:b/>
          <w:i/>
          <w:sz w:val="26"/>
          <w:szCs w:val="26"/>
          <w:highlight w:val="white"/>
        </w:rPr>
      </w:r>
      <w:r>
        <w:rPr>
          <w:b/>
          <w:i/>
          <w:sz w:val="26"/>
          <w:szCs w:val="26"/>
          <w:highlight w:val="white"/>
        </w:rPr>
      </w:r>
    </w:p>
    <w:p>
      <w:pPr>
        <w:contextualSpacing/>
        <w:jc w:val="both"/>
        <w:rPr>
          <w:b/>
          <w:bCs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Заключить</w:t>
      </w:r>
      <w:r>
        <w:rPr>
          <w:b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договор </w:t>
      </w:r>
      <w:r>
        <w:rPr>
          <w:sz w:val="26"/>
          <w:szCs w:val="26"/>
          <w:highlight w:val="white"/>
          <w:shd w:val="clear" w:color="auto" w:fill="ffffff"/>
        </w:rPr>
        <w:t xml:space="preserve">по титулу: </w:t>
      </w:r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Приобретение легкового автомобиля Нива Тревэл</w:t>
      </w:r>
      <w:r>
        <w:rPr>
          <w:b/>
          <w:bCs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с участником </w:t>
      </w:r>
      <w:r>
        <w:rPr>
          <w:b/>
          <w:sz w:val="26"/>
          <w:szCs w:val="26"/>
          <w:highlight w:val="white"/>
        </w:rPr>
        <w:t xml:space="preserve">№</w:t>
      </w:r>
      <w:r>
        <w:rPr>
          <w:sz w:val="26"/>
          <w:szCs w:val="26"/>
          <w:highlight w:val="white"/>
        </w:rPr>
        <w:t xml:space="preserve">437611</w:t>
      </w:r>
      <w:r>
        <w:rPr>
          <w:b/>
          <w:sz w:val="26"/>
          <w:szCs w:val="26"/>
          <w:highlight w:val="white"/>
        </w:rPr>
        <w:t xml:space="preserve"> </w:t>
      </w:r>
      <w:r>
        <w:rPr>
          <w:sz w:val="26"/>
          <w:szCs w:val="26"/>
          <w:highlight w:val="white"/>
        </w:rPr>
        <w:t xml:space="preserve">с ценой договора </w:t>
      </w:r>
      <w:r>
        <w:rPr>
          <w:bCs/>
          <w:sz w:val="26"/>
          <w:szCs w:val="26"/>
          <w:highlight w:val="white"/>
        </w:rPr>
        <w:t xml:space="preserve">9 570 243,20</w:t>
      </w:r>
      <w:r>
        <w:rPr>
          <w:bCs/>
          <w:sz w:val="26"/>
          <w:szCs w:val="26"/>
          <w:highlight w:val="white"/>
        </w:rPr>
        <w:t xml:space="preserve"> </w:t>
      </w:r>
      <w:r>
        <w:rPr>
          <w:bCs/>
          <w:sz w:val="26"/>
          <w:szCs w:val="26"/>
          <w:highlight w:val="white"/>
        </w:rPr>
        <w:t xml:space="preserve"> руб. без НДС / </w:t>
      </w:r>
      <w:r>
        <w:rPr>
          <w:bCs/>
          <w:sz w:val="26"/>
          <w:szCs w:val="26"/>
          <w:highlight w:val="white"/>
        </w:rPr>
        <w:t xml:space="preserve">11 508 000,00</w:t>
      </w:r>
      <w:r>
        <w:rPr>
          <w:bCs/>
          <w:sz w:val="26"/>
          <w:szCs w:val="26"/>
          <w:highlight w:val="white"/>
        </w:rPr>
        <w:t xml:space="preserve"> руб. с НДС </w:t>
      </w:r>
      <w:r>
        <w:rPr>
          <w:i/>
          <w:sz w:val="26"/>
          <w:szCs w:val="26"/>
          <w:highlight w:val="white"/>
        </w:rPr>
        <w:t xml:space="preserve">(снижение 6,99%).</w:t>
      </w:r>
      <w:r>
        <w:rPr>
          <w:sz w:val="26"/>
          <w:szCs w:val="26"/>
          <w:highlight w:val="white"/>
        </w:rPr>
        <w:t xml:space="preserve"> Остальные условия в соответствии с извещением о проведении закупки  и </w:t>
      </w:r>
      <w:r>
        <w:rPr>
          <w:bCs/>
          <w:sz w:val="26"/>
          <w:szCs w:val="26"/>
          <w:highlight w:val="white"/>
        </w:rPr>
        <w:t xml:space="preserve">заявкой единственного участника</w:t>
      </w:r>
      <w:r>
        <w:rPr>
          <w:b/>
          <w:sz w:val="26"/>
          <w:szCs w:val="26"/>
          <w:highlight w:val="white"/>
        </w:rPr>
        <w:t xml:space="preserve">.</w:t>
      </w:r>
      <w:r>
        <w:rPr>
          <w:b/>
          <w:bCs/>
          <w:sz w:val="26"/>
          <w:szCs w:val="26"/>
          <w:highlight w:val="white"/>
        </w:rPr>
      </w:r>
      <w:r>
        <w:rPr>
          <w:b/>
          <w:bCs/>
          <w:sz w:val="26"/>
          <w:szCs w:val="26"/>
          <w:highlight w:val="white"/>
        </w:rPr>
      </w:r>
    </w:p>
    <w:p>
      <w:pPr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jc w:val="both"/>
        <w:rPr>
          <w:sz w:val="26"/>
          <w:szCs w:val="26"/>
          <w:highlight w:val="yellow"/>
        </w:rPr>
      </w:pP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  <w:r>
        <w:rPr>
          <w:sz w:val="26"/>
          <w:szCs w:val="26"/>
          <w:highlight w:val="yellow"/>
        </w:rPr>
      </w:r>
    </w:p>
    <w:p>
      <w:pPr>
        <w:contextualSpacing/>
        <w:jc w:val="both"/>
        <w:tabs>
          <w:tab w:val="left" w:pos="426" w:leader="none"/>
        </w:tabs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  <w:u w:val="single"/>
        </w:rPr>
        <w:t xml:space="preserve">ПУБЛИКАЦИЯ</w:t>
      </w:r>
      <w:r>
        <w:rPr>
          <w:b/>
          <w:sz w:val="26"/>
          <w:szCs w:val="26"/>
          <w:highlight w:val="white"/>
        </w:rPr>
        <w:t xml:space="preserve">:</w:t>
      </w:r>
      <w:r>
        <w:rPr>
          <w:b/>
          <w:sz w:val="26"/>
          <w:szCs w:val="26"/>
          <w:highlight w:val="white"/>
        </w:rPr>
      </w:r>
      <w:r>
        <w:rPr>
          <w:b/>
          <w:sz w:val="26"/>
          <w:szCs w:val="26"/>
          <w:highlight w:val="white"/>
        </w:rPr>
      </w:r>
    </w:p>
    <w:p>
      <w:pPr>
        <w:jc w:val="both"/>
        <w:tabs>
          <w:tab w:val="left" w:pos="284" w:leader="none"/>
        </w:tabs>
        <w:rPr>
          <w:sz w:val="26"/>
          <w:szCs w:val="26"/>
          <w:highlight w:val="white"/>
        </w:rPr>
        <w:outlineLvl w:val="0"/>
      </w:pPr>
      <w:r>
        <w:rPr>
          <w:sz w:val="26"/>
          <w:szCs w:val="26"/>
          <w:highlight w:val="white"/>
        </w:rPr>
        <w:t xml:space="preserve">Настоящий протокол заседания закупочной комиссии подлежит опубликованию: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numPr>
          <w:ilvl w:val="0"/>
          <w:numId w:val="3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  <w:shd w:val="clear" w:color="auto" w:fill="ffffff"/>
        </w:rPr>
        <w:t xml:space="preserve">в ЕИС на сайте «www.zakupki.gov.ru» </w:t>
      </w:r>
      <w:r>
        <w:rPr>
          <w:sz w:val="26"/>
          <w:szCs w:val="26"/>
          <w:highlight w:val="white"/>
        </w:rPr>
        <w:t xml:space="preserve">не позднее чем через</w:t>
      </w:r>
      <w:r>
        <w:rPr>
          <w:b/>
          <w:sz w:val="26"/>
          <w:szCs w:val="26"/>
          <w:highlight w:val="white"/>
        </w:rPr>
        <w:t xml:space="preserve"> три дня</w:t>
      </w:r>
      <w:r>
        <w:rPr>
          <w:sz w:val="26"/>
          <w:szCs w:val="26"/>
          <w:highlight w:val="white"/>
        </w:rPr>
        <w:t xml:space="preserve"> со дня его подписания;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numPr>
          <w:ilvl w:val="0"/>
          <w:numId w:val="3"/>
        </w:numPr>
        <w:ind w:left="0" w:firstLine="0"/>
        <w:jc w:val="both"/>
        <w:tabs>
          <w:tab w:val="left" w:pos="284" w:leader="none"/>
          <w:tab w:val="left" w:pos="567" w:leader="none"/>
          <w:tab w:val="left" w:pos="993" w:leader="none"/>
        </w:tabs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на сайте электронной торговой площадки</w:t>
      </w:r>
      <w:r>
        <w:rPr>
          <w:sz w:val="26"/>
          <w:szCs w:val="26"/>
          <w:highlight w:val="white"/>
          <w:shd w:val="clear" w:color="auto" w:fill="ffffff"/>
        </w:rPr>
        <w:t xml:space="preserve"> </w:t>
      </w:r>
      <w:r>
        <w:rPr>
          <w:sz w:val="26"/>
          <w:szCs w:val="26"/>
          <w:highlight w:val="white"/>
        </w:rPr>
        <w:t xml:space="preserve">«</w:t>
      </w:r>
      <w:r>
        <w:rPr>
          <w:sz w:val="24"/>
          <w:szCs w:val="24"/>
          <w:highlight w:val="white"/>
        </w:rPr>
        <w:t xml:space="preserve">https://tender.lot-online.ru</w:t>
      </w:r>
      <w:r>
        <w:rPr>
          <w:sz w:val="26"/>
          <w:szCs w:val="26"/>
          <w:highlight w:val="white"/>
        </w:rPr>
        <w:t xml:space="preserve">».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rPr>
          <w:b/>
          <w:sz w:val="26"/>
          <w:szCs w:val="26"/>
          <w:highlight w:val="white"/>
          <w:u w:val="single"/>
        </w:rPr>
      </w:pPr>
      <w:r>
        <w:rPr>
          <w:b/>
          <w:sz w:val="26"/>
          <w:szCs w:val="26"/>
          <w:highlight w:val="white"/>
          <w:u w:val="single"/>
        </w:rPr>
        <w:t xml:space="preserve">ПРОТОКОЛ ПОДПИСАЛИ: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white"/>
        </w:rPr>
        <w:t xml:space="preserve">екретарь постоянно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действующей Закупочной комиссии</w:t>
      </w:r>
      <w:r>
        <w:rPr>
          <w:sz w:val="26"/>
          <w:szCs w:val="26"/>
          <w:highlight w:val="white"/>
        </w:rPr>
      </w:r>
      <w:r>
        <w:rPr>
          <w:sz w:val="26"/>
          <w:szCs w:val="26"/>
          <w:highlight w:val="white"/>
        </w:rPr>
      </w:r>
    </w:p>
    <w:p>
      <w:pPr>
        <w:jc w:val="both"/>
        <w:rPr>
          <w:b/>
          <w:sz w:val="26"/>
          <w:szCs w:val="26"/>
          <w:highlight w:val="white"/>
          <w:u w:val="single"/>
        </w:rPr>
      </w:pPr>
      <w:r>
        <w:rPr>
          <w:sz w:val="26"/>
          <w:szCs w:val="26"/>
          <w:highlight w:val="white"/>
        </w:rPr>
        <w:t xml:space="preserve">(без права голоса):</w:t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white"/>
        </w:rPr>
        <w:tab/>
      </w:r>
      <w:r>
        <w:rPr>
          <w:sz w:val="26"/>
          <w:szCs w:val="26"/>
          <w:highlight w:val="none"/>
        </w:rPr>
        <w:t xml:space="preserve">А.А.</w:t>
      </w:r>
      <w:r>
        <w:rPr>
          <w:b w:val="0"/>
          <w:bCs w:val="0"/>
          <w:sz w:val="26"/>
          <w:szCs w:val="26"/>
          <w:highlight w:val="none"/>
          <w:u w:val="none"/>
        </w:rPr>
        <w:t xml:space="preserve"> Хаккарайнен</w:t>
      </w:r>
      <w:r>
        <w:rPr>
          <w:b/>
          <w:sz w:val="26"/>
          <w:szCs w:val="26"/>
          <w:highlight w:val="white"/>
          <w:u w:val="single"/>
        </w:rPr>
      </w:r>
      <w:r>
        <w:rPr>
          <w:b/>
          <w:sz w:val="26"/>
          <w:szCs w:val="26"/>
          <w:highlight w:val="white"/>
          <w:u w:val="single"/>
        </w:rPr>
      </w:r>
    </w:p>
    <w:p>
      <w:pPr>
        <w:jc w:val="both"/>
        <w:rPr>
          <w:b/>
          <w:sz w:val="26"/>
          <w:szCs w:val="26"/>
          <w:highlight w:val="yellow"/>
          <w:u w:val="single"/>
        </w:rPr>
      </w:pP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  <w:r>
        <w:rPr>
          <w:b/>
          <w:sz w:val="26"/>
          <w:szCs w:val="26"/>
          <w:highlight w:val="yellow"/>
          <w:u w:val="single"/>
        </w:rPr>
      </w:r>
    </w:p>
    <w:sectPr>
      <w:footerReference w:type="default" r:id="rId9"/>
      <w:footnotePr/>
      <w:endnotePr/>
      <w:type w:val="continuous"/>
      <w:pgSz w:w="11909" w:h="16834" w:orient="portrait"/>
      <w:pgMar w:top="567" w:right="567" w:bottom="567" w:left="1134" w:header="720" w:footer="263" w:gutter="0"/>
      <w:cols w:num="1" w:sep="0" w:space="6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rinda">
    <w:panose1 w:val="020B050204050402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15994594"/>
      <w:docPartObj>
        <w:docPartGallery w:val="Page Numbers (Bottom of Page)"/>
        <w:docPartUnique w:val="true"/>
      </w:docPartObj>
      <w:rPr>
        <w:i/>
        <w:color w:val="4f81bd" w:themeColor="accent1"/>
      </w:rPr>
    </w:sdtPr>
    <w:sdtContent>
      <w:p>
        <w:pPr>
          <w:pStyle w:val="978"/>
          <w:jc w:val="right"/>
          <w:rPr>
            <w:color w:val="000000" w:themeColor="text1"/>
          </w:rPr>
          <w:pBdr>
            <w:top w:val="single" w:color="000000" w:sz="4" w:space="1"/>
          </w:pBdr>
        </w:pPr>
        <w:r>
          <w:rPr>
            <w:i/>
            <w:color w:val="000000" w:themeColor="text1"/>
          </w:rPr>
          <w:t xml:space="preserve">стр.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PAGE   \* MERGEFORMAT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2</w:t>
        </w:r>
        <w:r>
          <w:rPr>
            <w:i/>
            <w:color w:val="000000" w:themeColor="text1"/>
          </w:rPr>
          <w:fldChar w:fldCharType="end"/>
        </w:r>
        <w:r>
          <w:rPr>
            <w:i/>
            <w:color w:val="000000" w:themeColor="text1"/>
          </w:rPr>
          <w:t xml:space="preserve"> из </w:t>
        </w:r>
        <w:r>
          <w:rPr>
            <w:i/>
            <w:color w:val="000000" w:themeColor="text1"/>
          </w:rPr>
          <w:fldChar w:fldCharType="begin"/>
        </w:r>
        <w:r>
          <w:rPr>
            <w:i/>
            <w:color w:val="000000" w:themeColor="text1"/>
          </w:rPr>
          <w:instrText xml:space="preserve"> NUMPAGES   \* MERGEFORMAT </w:instrText>
        </w:r>
        <w:r>
          <w:rPr>
            <w:i/>
            <w:color w:val="000000" w:themeColor="text1"/>
          </w:rPr>
          <w:fldChar w:fldCharType="separate"/>
        </w:r>
        <w:r>
          <w:rPr>
            <w:i/>
            <w:color w:val="000000" w:themeColor="text1"/>
          </w:rPr>
          <w:t xml:space="preserve">3</w:t>
        </w:r>
        <w:r>
          <w:rPr>
            <w:i/>
            <w:color w:val="000000" w:themeColor="text1"/>
          </w:rPr>
          <w:fldChar w:fldCharType="end"/>
        </w:r>
        <w:r>
          <w:rPr>
            <w:color w:val="000000" w:themeColor="text1"/>
          </w:rPr>
        </w:r>
        <w:r>
          <w:rPr>
            <w:color w:val="000000" w:themeColor="text1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859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1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7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44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80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80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216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144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decimal"/>
      <w:isLgl w:val="false"/>
      <w:suff w:val="tab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rFonts w:hint="default"/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rFonts w:hint="default"/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decimal"/>
      <w:isLgl w:val="false"/>
      <w:suff w:val="tab"/>
      <w:lvlText w:val="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russianLower"/>
      <w:isLgl w:val="false"/>
      <w:suff w:val="tab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576" w:hanging="576"/>
        <w:tabs>
          <w:tab w:val="num" w:pos="576" w:leader="none"/>
        </w:tabs>
      </w:pPr>
      <w:rPr>
        <w:rFonts w:hint="default"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568"/>
        <w:tabs>
          <w:tab w:val="num" w:pos="738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290" w:hanging="864"/>
        <w:tabs>
          <w:tab w:val="num" w:pos="1290" w:leader="none"/>
        </w:tabs>
      </w:pPr>
      <w:rPr>
        <w:rFonts w:hint="default" w:ascii="Times New Roman" w:hAnsi="Times New Roman" w:cs="Times New Roman"/>
        <w:sz w:val="24"/>
        <w:szCs w:val="24"/>
      </w:rPr>
    </w:lvl>
    <w:lvl w:ilvl="4">
      <w:start w:val="1"/>
      <w:numFmt w:val="russianLower"/>
      <w:isLgl w:val="false"/>
      <w:suff w:val="tab"/>
      <w:lvlText w:val="%5)"/>
      <w:lvlJc w:val="left"/>
      <w:pPr>
        <w:ind w:left="928" w:hanging="360"/>
        <w:tabs>
          <w:tab w:val="num" w:pos="928" w:leader="none"/>
        </w:tabs>
      </w:pPr>
      <w:rPr>
        <w:rFonts w:hint="default" w:ascii="Times New Roman" w:hAnsi="Times New Roman" w:cs="Times New Roman"/>
        <w:b w:val="0"/>
        <w:i w:val="0"/>
        <w:sz w:val="24"/>
        <w:szCs w:val="24"/>
      </w:rPr>
    </w:lvl>
    <w:lvl w:ilvl="5">
      <w:start w:val="1"/>
      <w:numFmt w:val="decimal"/>
      <w:isLgl w:val="false"/>
      <w:suff w:val="tab"/>
      <w:lvlText w:val="%5.%6.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13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/>
        <w:b w:val="0"/>
        <w:i w:val="0"/>
      </w:rPr>
    </w:lvl>
    <w:lvl w:ilvl="1">
      <w:start w:val="1"/>
      <w:numFmt w:val="decimal"/>
      <w:isLgl/>
      <w:suff w:val="tab"/>
      <w:lvlText w:val="%1.%2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1350" w:hanging="360"/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207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9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1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3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95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7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9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1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8" w:hanging="360"/>
        <w:tabs>
          <w:tab w:val="num" w:pos="928" w:leader="none"/>
        </w:tabs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2008" w:hanging="360"/>
        <w:tabs>
          <w:tab w:val="num" w:pos="2008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728" w:hanging="180"/>
        <w:tabs>
          <w:tab w:val="num" w:pos="272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448" w:hanging="360"/>
        <w:tabs>
          <w:tab w:val="num" w:pos="3448" w:leader="none"/>
        </w:tabs>
      </w:pPr>
      <w:rPr>
        <w:b w:val="0"/>
      </w:rPr>
    </w:lvl>
    <w:lvl w:ilvl="4">
      <w:start w:val="1"/>
      <w:numFmt w:val="lowerLetter"/>
      <w:isLgl w:val="false"/>
      <w:suff w:val="tab"/>
      <w:lvlText w:val="%5."/>
      <w:lvlJc w:val="left"/>
      <w:pPr>
        <w:ind w:left="4168" w:hanging="360"/>
        <w:tabs>
          <w:tab w:val="num" w:pos="4168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888" w:hanging="180"/>
        <w:tabs>
          <w:tab w:val="num" w:pos="488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329" w:hanging="360"/>
        <w:tabs>
          <w:tab w:val="num" w:pos="4329" w:leader="none"/>
        </w:tabs>
      </w:pPr>
      <w:rPr>
        <w:b/>
        <w:i/>
      </w:rPr>
    </w:lvl>
    <w:lvl w:ilvl="7">
      <w:start w:val="1"/>
      <w:numFmt w:val="lowerLetter"/>
      <w:isLgl w:val="false"/>
      <w:suff w:val="tab"/>
      <w:lvlText w:val="%8."/>
      <w:lvlJc w:val="left"/>
      <w:pPr>
        <w:ind w:left="6328" w:hanging="360"/>
        <w:tabs>
          <w:tab w:val="num" w:pos="6328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048" w:hanging="180"/>
        <w:tabs>
          <w:tab w:val="num" w:pos="7048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25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decimal"/>
      <w:pStyle w:val="1000"/>
      <w:isLgl w:val="false"/>
      <w:suff w:val="tab"/>
      <w:lvlText w:val="%1."/>
      <w:lvlJc w:val="center"/>
      <w:pPr>
        <w:tabs>
          <w:tab w:val="num" w:pos="2977" w:leader="none"/>
        </w:tabs>
      </w:pPr>
      <w:rPr>
        <w:rFonts w:hint="default" w:cs="Times New Roman"/>
        <w:bCs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decimal"/>
      <w:pStyle w:val="1002"/>
      <w:isLgl w:val="false"/>
      <w:suff w:val="tab"/>
      <w:lvlText w:val="%1.%2"/>
      <w:lvlJc w:val="left"/>
      <w:pPr>
        <w:ind w:firstLine="567"/>
        <w:tabs>
          <w:tab w:val="num" w:pos="4680" w:leader="none"/>
        </w:tabs>
      </w:pPr>
      <w:rPr>
        <w:rFonts w:hint="default" w:cs="Times New Roman"/>
        <w:bCs/>
        <w:iCs w:val="0"/>
        <w:caps w:val="0"/>
        <w:strike w:val="0"/>
        <w:vanish w:val="0"/>
        <w:color w:val="auto"/>
        <w:spacing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1001"/>
      <w:isLgl w:val="false"/>
      <w:suff w:val="tab"/>
      <w:lvlText w:val="%1.%2.%3"/>
      <w:lvlJc w:val="left"/>
      <w:pPr>
        <w:ind w:firstLine="567"/>
        <w:tabs>
          <w:tab w:val="num" w:pos="5109" w:leader="none"/>
        </w:tabs>
      </w:pPr>
      <w:rPr>
        <w:rFonts w:hint="default" w:cs="Times New Roman"/>
        <w:b w:val="0"/>
        <w:bCs w:val="0"/>
        <w:i w:val="0"/>
        <w:iCs w:val="0"/>
        <w:color w:val="auto"/>
      </w:rPr>
    </w:lvl>
    <w:lvl w:ilvl="3">
      <w:start w:val="1"/>
      <w:numFmt w:val="decimal"/>
      <w:isLgl w:val="false"/>
      <w:suff w:val="tab"/>
      <w:lvlText w:val="%1.%2.%3.%4"/>
      <w:lvlJc w:val="left"/>
      <w:pPr>
        <w:ind w:firstLine="567"/>
        <w:tabs>
          <w:tab w:val="num" w:pos="1985" w:leader="none"/>
        </w:tabs>
      </w:pPr>
      <w:rPr>
        <w:rFonts w:hint="default" w:cs="Times New Roman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russianLower"/>
      <w:pStyle w:val="1003"/>
      <w:isLgl w:val="false"/>
      <w:suff w:val="tab"/>
      <w:lvlText w:val="%5)"/>
      <w:lvlJc w:val="left"/>
      <w:pPr>
        <w:ind w:firstLine="567"/>
        <w:tabs>
          <w:tab w:val="num" w:pos="1703" w:leader="none"/>
        </w:tabs>
      </w:pPr>
      <w:rPr>
        <w:rFonts w:hint="default" w:cs="Times New Roman"/>
        <w:b w:val="0"/>
        <w:bCs w:val="0"/>
        <w:i w:val="0"/>
        <w:iCs w:val="0"/>
      </w:rPr>
    </w:lvl>
    <w:lvl w:ilvl="5">
      <w:start w:val="1"/>
      <w:numFmt w:val="lowerLetter"/>
      <w:isLgl w:val="false"/>
      <w:suff w:val="tab"/>
      <w:lvlText w:val="%6)"/>
      <w:lvlJc w:val="left"/>
      <w:pPr>
        <w:ind w:left="2551" w:hanging="567"/>
        <w:tabs>
          <w:tab w:val="num" w:pos="2551" w:leader="none"/>
        </w:tabs>
      </w:pPr>
      <w:rPr>
        <w:rFonts w:hint="default" w:cs="Times New Roman"/>
      </w:rPr>
    </w:lvl>
    <w:lvl w:ilvl="6">
      <w:start w:val="1"/>
      <w:numFmt w:val="lowerRoman"/>
      <w:isLgl w:val="false"/>
      <w:suff w:val="tab"/>
      <w:lvlText w:val="%7)"/>
      <w:lvlJc w:val="left"/>
      <w:pPr>
        <w:ind w:left="2268" w:hanging="567"/>
        <w:tabs>
          <w:tab w:val="num" w:pos="2268" w:leader="none"/>
        </w:tabs>
      </w:pPr>
      <w:rPr>
        <w:rFonts w:hint="default" w:cs="Times New Roman"/>
      </w:rPr>
    </w:lvl>
    <w:lvl w:ilvl="7">
      <w:start w:val="1"/>
      <w:numFmt w:val="decimal"/>
      <w:isLgl w:val="false"/>
      <w:suff w:val="tab"/>
      <w:lvlText w:val="%5.%6.%7.%8)"/>
      <w:lvlJc w:val="left"/>
      <w:pPr>
        <w:ind w:left="1448" w:hanging="567"/>
        <w:tabs>
          <w:tab w:val="num" w:pos="1448" w:leader="none"/>
        </w:tabs>
      </w:pPr>
      <w:rPr>
        <w:rFonts w:hint="default"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366" w:hanging="1440"/>
        <w:tabs>
          <w:tab w:val="num" w:pos="4166" w:leader="none"/>
        </w:tabs>
      </w:pPr>
      <w:rPr>
        <w:rFonts w:hint="default" w:cs="Times New Roman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multiLevelType w:val="hybridMultilevel"/>
    <w:lvl w:ilvl="0">
      <w:start w:val="1"/>
      <w:numFmt w:val="bullet"/>
      <w:pStyle w:val="980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  <w:b/>
        <w:i/>
        <w:sz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854" w:hanging="360"/>
      </w:pPr>
      <w:rPr>
        <w:rFonts w:hint="default" w:ascii="Vrinda" w:hAnsi="Vrinda"/>
      </w:rPr>
    </w:lvl>
    <w:lvl w:ilvl="1">
      <w:start w:val="1"/>
      <w:numFmt w:val="bullet"/>
      <w:isLgl w:val="false"/>
      <w:suff w:val="tab"/>
      <w:lvlText w:val="o"/>
      <w:lvlJc w:val="left"/>
      <w:pPr>
        <w:ind w:left="257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9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1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73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5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7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9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14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isLgl w:val="false"/>
      <w:suff w:val="tab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8">
    <w:multiLevelType w:val="hybridMultilevel"/>
    <w:lvl w:ilvl="0">
      <w:start w:val="1"/>
      <w:numFmt w:val="decimal"/>
      <w:pStyle w:val="789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790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990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992"/>
      <w:isLgl w:val="false"/>
      <w:suff w:val="tab"/>
      <w:lvlText w:val="%5)"/>
      <w:lvlJc w:val="left"/>
      <w:pPr>
        <w:ind w:left="14176" w:hanging="567"/>
        <w:tabs>
          <w:tab w:val="num" w:pos="1417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10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russianLower"/>
      <w:isLgl w:val="false"/>
      <w:suff w:val="tab"/>
      <w:lvlText w:val="%5)"/>
      <w:lvlJc w:val="left"/>
      <w:pPr>
        <w:ind w:left="2280" w:hanging="1080"/>
      </w:pPr>
      <w:rPr>
        <w:rFonts w:hint="default"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60" w:hanging="2160"/>
      </w:pPr>
      <w:rPr>
        <w:rFonts w:hint="default"/>
      </w:rPr>
    </w:lvl>
  </w:abstractNum>
  <w:abstractNum w:abstractNumId="41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29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01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73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45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7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9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61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338" w:hanging="180"/>
      </w:pPr>
    </w:lvl>
  </w:abstractNum>
  <w:abstractNum w:abstractNumId="44">
    <w:multiLevelType w:val="hybridMultilevel"/>
    <w:lvl w:ilvl="0">
      <w:start w:val="1"/>
      <w:numFmt w:val="decimal"/>
      <w:pStyle w:val="994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996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45">
    <w:multiLevelType w:val="hybridMultilevel"/>
    <w:lvl w:ilvl="0">
      <w:start w:val="1"/>
      <w:numFmt w:val="russianLower"/>
      <w:isLgl w:val="false"/>
      <w:suff w:val="tab"/>
      <w:lvlText w:val="%1)"/>
      <w:lvlJc w:val="left"/>
      <w:pPr>
        <w:ind w:left="1152" w:hanging="360"/>
      </w:pPr>
      <w:rPr>
        <w:rFonts w:hint="default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87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9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31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03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75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7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9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912" w:hanging="180"/>
      </w:pPr>
    </w:lvl>
  </w:abstractNum>
  <w:num w:numId="1">
    <w:abstractNumId w:val="22"/>
  </w:num>
  <w:num w:numId="2">
    <w:abstractNumId w:val="6"/>
  </w:num>
  <w:num w:numId="3">
    <w:abstractNumId w:val="42"/>
  </w:num>
  <w:num w:numId="4">
    <w:abstractNumId w:val="30"/>
  </w:num>
  <w:num w:numId="5">
    <w:abstractNumId w:val="31"/>
  </w:num>
  <w:num w:numId="6">
    <w:abstractNumId w:val="28"/>
  </w:num>
  <w:num w:numId="7">
    <w:abstractNumId w:val="18"/>
  </w:num>
  <w:num w:numId="8">
    <w:abstractNumId w:val="17"/>
  </w:num>
  <w:num w:numId="9">
    <w:abstractNumId w:val="38"/>
  </w:num>
  <w:num w:numId="10">
    <w:abstractNumId w:val="44"/>
  </w:num>
  <w:num w:numId="11">
    <w:abstractNumId w:val="7"/>
  </w:num>
  <w:num w:numId="12">
    <w:abstractNumId w:val="1"/>
  </w:num>
  <w:num w:numId="13">
    <w:abstractNumId w:val="39"/>
  </w:num>
  <w:num w:numId="14">
    <w:abstractNumId w:val="20"/>
  </w:num>
  <w:num w:numId="15">
    <w:abstractNumId w:val="2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34"/>
  </w:num>
  <w:num w:numId="18">
    <w:abstractNumId w:val="25"/>
  </w:num>
  <w:num w:numId="19">
    <w:abstractNumId w:val="27"/>
  </w:num>
  <w:num w:numId="20">
    <w:abstractNumId w:val="36"/>
  </w:num>
  <w:num w:numId="21">
    <w:abstractNumId w:val="21"/>
  </w:num>
  <w:num w:numId="22">
    <w:abstractNumId w:val="37"/>
  </w:num>
  <w:num w:numId="23">
    <w:abstractNumId w:val="14"/>
  </w:num>
  <w:num w:numId="24">
    <w:abstractNumId w:val="8"/>
  </w:num>
  <w:num w:numId="25">
    <w:abstractNumId w:val="43"/>
  </w:num>
  <w:num w:numId="26">
    <w:abstractNumId w:val="23"/>
  </w:num>
  <w:num w:numId="27">
    <w:abstractNumId w:val="9"/>
  </w:num>
  <w:num w:numId="28">
    <w:abstractNumId w:val="26"/>
  </w:num>
  <w:num w:numId="29">
    <w:abstractNumId w:val="41"/>
  </w:num>
  <w:num w:numId="30">
    <w:abstractNumId w:val="4"/>
  </w:num>
  <w:num w:numId="31">
    <w:abstractNumId w:val="3"/>
  </w:num>
  <w:num w:numId="32">
    <w:abstractNumId w:val="40"/>
  </w:num>
  <w:num w:numId="33">
    <w:abstractNumId w:val="11"/>
  </w:num>
  <w:num w:numId="34">
    <w:abstractNumId w:val="0"/>
  </w:num>
  <w:num w:numId="35">
    <w:abstractNumId w:val="16"/>
  </w:num>
  <w:num w:numId="36">
    <w:abstractNumId w:val="5"/>
  </w:num>
  <w:num w:numId="37">
    <w:abstractNumId w:val="2"/>
  </w:num>
  <w:num w:numId="38">
    <w:abstractNumId w:val="12"/>
  </w:num>
  <w:num w:numId="39">
    <w:abstractNumId w:val="45"/>
  </w:num>
  <w:num w:numId="40">
    <w:abstractNumId w:val="15"/>
  </w:num>
  <w:num w:numId="41">
    <w:abstractNumId w:val="32"/>
  </w:num>
  <w:num w:numId="42">
    <w:abstractNumId w:val="33"/>
  </w:num>
  <w:num w:numId="43">
    <w:abstractNumId w:val="35"/>
  </w:num>
  <w:num w:numId="44">
    <w:abstractNumId w:val="24"/>
  </w:num>
  <w:num w:numId="45">
    <w:abstractNumId w:val="29"/>
  </w:num>
  <w:num w:numId="46">
    <w:abstractNumId w:val="13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6">
    <w:name w:val="Heading 4 Char"/>
    <w:basedOn w:val="798"/>
    <w:link w:val="792"/>
    <w:uiPriority w:val="9"/>
    <w:rPr>
      <w:rFonts w:ascii="Arial" w:hAnsi="Arial" w:eastAsia="Arial" w:cs="Arial"/>
      <w:b/>
      <w:bCs/>
      <w:sz w:val="26"/>
      <w:szCs w:val="26"/>
    </w:rPr>
  </w:style>
  <w:style w:type="character" w:styleId="777">
    <w:name w:val="Heading 5 Char"/>
    <w:basedOn w:val="798"/>
    <w:link w:val="793"/>
    <w:uiPriority w:val="9"/>
    <w:rPr>
      <w:rFonts w:ascii="Arial" w:hAnsi="Arial" w:eastAsia="Arial" w:cs="Arial"/>
      <w:b/>
      <w:bCs/>
      <w:sz w:val="24"/>
      <w:szCs w:val="24"/>
    </w:rPr>
  </w:style>
  <w:style w:type="character" w:styleId="778">
    <w:name w:val="Heading 6 Char"/>
    <w:basedOn w:val="798"/>
    <w:link w:val="794"/>
    <w:uiPriority w:val="9"/>
    <w:rPr>
      <w:rFonts w:ascii="Arial" w:hAnsi="Arial" w:eastAsia="Arial" w:cs="Arial"/>
      <w:b/>
      <w:bCs/>
      <w:sz w:val="22"/>
      <w:szCs w:val="22"/>
    </w:rPr>
  </w:style>
  <w:style w:type="character" w:styleId="779">
    <w:name w:val="Heading 7 Char"/>
    <w:basedOn w:val="798"/>
    <w:link w:val="79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0">
    <w:name w:val="Heading 8 Char"/>
    <w:basedOn w:val="798"/>
    <w:link w:val="796"/>
    <w:uiPriority w:val="9"/>
    <w:rPr>
      <w:rFonts w:ascii="Arial" w:hAnsi="Arial" w:eastAsia="Arial" w:cs="Arial"/>
      <w:i/>
      <w:iCs/>
      <w:sz w:val="22"/>
      <w:szCs w:val="22"/>
    </w:rPr>
  </w:style>
  <w:style w:type="character" w:styleId="781">
    <w:name w:val="Heading 9 Char"/>
    <w:basedOn w:val="798"/>
    <w:link w:val="797"/>
    <w:uiPriority w:val="9"/>
    <w:rPr>
      <w:rFonts w:ascii="Arial" w:hAnsi="Arial" w:eastAsia="Arial" w:cs="Arial"/>
      <w:i/>
      <w:iCs/>
      <w:sz w:val="21"/>
      <w:szCs w:val="21"/>
    </w:rPr>
  </w:style>
  <w:style w:type="character" w:styleId="782">
    <w:name w:val="Title Char"/>
    <w:basedOn w:val="798"/>
    <w:link w:val="811"/>
    <w:uiPriority w:val="10"/>
    <w:rPr>
      <w:sz w:val="48"/>
      <w:szCs w:val="48"/>
    </w:rPr>
  </w:style>
  <w:style w:type="character" w:styleId="783">
    <w:name w:val="Subtitle Char"/>
    <w:basedOn w:val="798"/>
    <w:link w:val="813"/>
    <w:uiPriority w:val="11"/>
    <w:rPr>
      <w:sz w:val="24"/>
      <w:szCs w:val="24"/>
    </w:rPr>
  </w:style>
  <w:style w:type="character" w:styleId="784">
    <w:name w:val="Quote Char"/>
    <w:link w:val="815"/>
    <w:uiPriority w:val="29"/>
    <w:rPr>
      <w:i/>
    </w:rPr>
  </w:style>
  <w:style w:type="character" w:styleId="785">
    <w:name w:val="Intense Quote Char"/>
    <w:link w:val="817"/>
    <w:uiPriority w:val="30"/>
    <w:rPr>
      <w:i/>
    </w:rPr>
  </w:style>
  <w:style w:type="character" w:styleId="786">
    <w:name w:val="Footnote Text Char"/>
    <w:link w:val="948"/>
    <w:uiPriority w:val="99"/>
    <w:rPr>
      <w:sz w:val="18"/>
    </w:rPr>
  </w:style>
  <w:style w:type="character" w:styleId="787">
    <w:name w:val="Endnote Text Char"/>
    <w:link w:val="951"/>
    <w:uiPriority w:val="99"/>
    <w:rPr>
      <w:sz w:val="20"/>
    </w:rPr>
  </w:style>
  <w:style w:type="paragraph" w:styleId="788" w:default="1">
    <w:name w:val="Normal"/>
    <w:qFormat/>
    <w:pPr>
      <w:widowControl w:val="off"/>
    </w:pPr>
  </w:style>
  <w:style w:type="paragraph" w:styleId="789">
    <w:name w:val="Heading 1"/>
    <w:basedOn w:val="788"/>
    <w:next w:val="788"/>
    <w:link w:val="988"/>
    <w:qFormat/>
    <w:pPr>
      <w:numPr>
        <w:ilvl w:val="0"/>
        <w:numId w:val="9"/>
      </w:numPr>
      <w:keepLines/>
      <w:keepNext/>
      <w:pageBreakBefore/>
      <w:spacing w:before="480" w:after="240"/>
      <w:widowControl/>
      <w:outlineLvl w:val="0"/>
    </w:pPr>
    <w:rPr>
      <w:rFonts w:ascii="Arial" w:hAnsi="Arial"/>
      <w:b/>
      <w:sz w:val="40"/>
    </w:rPr>
  </w:style>
  <w:style w:type="paragraph" w:styleId="790">
    <w:name w:val="Heading 2"/>
    <w:basedOn w:val="788"/>
    <w:next w:val="788"/>
    <w:link w:val="989"/>
    <w:uiPriority w:val="9"/>
    <w:qFormat/>
    <w:pPr>
      <w:numPr>
        <w:ilvl w:val="1"/>
        <w:numId w:val="9"/>
      </w:numPr>
      <w:keepNext/>
      <w:spacing w:before="360" w:after="120"/>
      <w:widowControl/>
      <w:outlineLvl w:val="1"/>
    </w:pPr>
    <w:rPr>
      <w:b/>
      <w:sz w:val="32"/>
    </w:rPr>
  </w:style>
  <w:style w:type="paragraph" w:styleId="791">
    <w:name w:val="Heading 3"/>
    <w:basedOn w:val="788"/>
    <w:next w:val="788"/>
    <w:link w:val="975"/>
    <w:uiPriority w:val="99"/>
    <w:qFormat/>
    <w:pPr>
      <w:ind w:left="142"/>
      <w:jc w:val="both"/>
      <w:keepNext/>
      <w:spacing w:before="240" w:after="60"/>
      <w:widowControl/>
      <w:tabs>
        <w:tab w:val="num" w:pos="312" w:leader="none"/>
      </w:tabs>
      <w:outlineLvl w:val="2"/>
    </w:pPr>
    <w:rPr>
      <w:rFonts w:ascii="Arial" w:hAnsi="Arial" w:cs="Arial"/>
      <w:b/>
      <w:bCs/>
      <w:sz w:val="24"/>
      <w:szCs w:val="24"/>
    </w:rPr>
  </w:style>
  <w:style w:type="paragraph" w:styleId="792">
    <w:name w:val="Heading 4"/>
    <w:basedOn w:val="788"/>
    <w:next w:val="788"/>
    <w:link w:val="80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93">
    <w:name w:val="Heading 5"/>
    <w:basedOn w:val="788"/>
    <w:next w:val="788"/>
    <w:link w:val="80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94">
    <w:name w:val="Heading 6"/>
    <w:basedOn w:val="788"/>
    <w:next w:val="788"/>
    <w:link w:val="80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95">
    <w:name w:val="Heading 7"/>
    <w:basedOn w:val="788"/>
    <w:next w:val="788"/>
    <w:link w:val="8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6">
    <w:name w:val="Heading 8"/>
    <w:basedOn w:val="788"/>
    <w:next w:val="788"/>
    <w:link w:val="80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97">
    <w:name w:val="Heading 9"/>
    <w:basedOn w:val="788"/>
    <w:next w:val="788"/>
    <w:link w:val="80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8" w:default="1">
    <w:name w:val="Default Paragraph Font"/>
    <w:uiPriority w:val="1"/>
    <w:semiHidden/>
    <w:unhideWhenUsed/>
  </w:style>
  <w:style w:type="table" w:styleId="7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0" w:default="1">
    <w:name w:val="No List"/>
    <w:uiPriority w:val="99"/>
    <w:semiHidden/>
    <w:unhideWhenUsed/>
  </w:style>
  <w:style w:type="character" w:styleId="801" w:customStyle="1">
    <w:name w:val="Heading 1 Char"/>
    <w:basedOn w:val="798"/>
    <w:uiPriority w:val="9"/>
    <w:rPr>
      <w:rFonts w:ascii="Arial" w:hAnsi="Arial" w:eastAsia="Arial" w:cs="Arial"/>
      <w:sz w:val="40"/>
      <w:szCs w:val="40"/>
    </w:rPr>
  </w:style>
  <w:style w:type="character" w:styleId="802" w:customStyle="1">
    <w:name w:val="Heading 2 Char"/>
    <w:basedOn w:val="798"/>
    <w:uiPriority w:val="9"/>
    <w:rPr>
      <w:rFonts w:ascii="Arial" w:hAnsi="Arial" w:eastAsia="Arial" w:cs="Arial"/>
      <w:sz w:val="34"/>
    </w:rPr>
  </w:style>
  <w:style w:type="character" w:styleId="803" w:customStyle="1">
    <w:name w:val="Heading 3 Char"/>
    <w:basedOn w:val="798"/>
    <w:uiPriority w:val="9"/>
    <w:rPr>
      <w:rFonts w:ascii="Arial" w:hAnsi="Arial" w:eastAsia="Arial" w:cs="Arial"/>
      <w:sz w:val="30"/>
      <w:szCs w:val="30"/>
    </w:rPr>
  </w:style>
  <w:style w:type="character" w:styleId="804" w:customStyle="1">
    <w:name w:val="Заголовок 4 Знак"/>
    <w:basedOn w:val="798"/>
    <w:link w:val="792"/>
    <w:uiPriority w:val="9"/>
    <w:rPr>
      <w:rFonts w:ascii="Arial" w:hAnsi="Arial" w:eastAsia="Arial" w:cs="Arial"/>
      <w:b/>
      <w:bCs/>
      <w:sz w:val="26"/>
      <w:szCs w:val="26"/>
    </w:rPr>
  </w:style>
  <w:style w:type="character" w:styleId="805" w:customStyle="1">
    <w:name w:val="Заголовок 5 Знак"/>
    <w:basedOn w:val="798"/>
    <w:link w:val="793"/>
    <w:uiPriority w:val="9"/>
    <w:rPr>
      <w:rFonts w:ascii="Arial" w:hAnsi="Arial" w:eastAsia="Arial" w:cs="Arial"/>
      <w:b/>
      <w:bCs/>
      <w:sz w:val="24"/>
      <w:szCs w:val="24"/>
    </w:rPr>
  </w:style>
  <w:style w:type="character" w:styleId="806" w:customStyle="1">
    <w:name w:val="Заголовок 6 Знак"/>
    <w:basedOn w:val="798"/>
    <w:link w:val="794"/>
    <w:uiPriority w:val="9"/>
    <w:rPr>
      <w:rFonts w:ascii="Arial" w:hAnsi="Arial" w:eastAsia="Arial" w:cs="Arial"/>
      <w:b/>
      <w:bCs/>
      <w:sz w:val="22"/>
      <w:szCs w:val="22"/>
    </w:rPr>
  </w:style>
  <w:style w:type="character" w:styleId="807" w:customStyle="1">
    <w:name w:val="Заголовок 7 Знак"/>
    <w:basedOn w:val="798"/>
    <w:link w:val="79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8" w:customStyle="1">
    <w:name w:val="Заголовок 8 Знак"/>
    <w:basedOn w:val="798"/>
    <w:link w:val="796"/>
    <w:uiPriority w:val="9"/>
    <w:rPr>
      <w:rFonts w:ascii="Arial" w:hAnsi="Arial" w:eastAsia="Arial" w:cs="Arial"/>
      <w:i/>
      <w:iCs/>
      <w:sz w:val="22"/>
      <w:szCs w:val="22"/>
    </w:rPr>
  </w:style>
  <w:style w:type="character" w:styleId="809" w:customStyle="1">
    <w:name w:val="Заголовок 9 Знак"/>
    <w:basedOn w:val="798"/>
    <w:link w:val="797"/>
    <w:uiPriority w:val="9"/>
    <w:rPr>
      <w:rFonts w:ascii="Arial" w:hAnsi="Arial" w:eastAsia="Arial" w:cs="Arial"/>
      <w:i/>
      <w:iCs/>
      <w:sz w:val="21"/>
      <w:szCs w:val="21"/>
    </w:rPr>
  </w:style>
  <w:style w:type="paragraph" w:styleId="810">
    <w:name w:val="No Spacing"/>
    <w:uiPriority w:val="1"/>
    <w:qFormat/>
  </w:style>
  <w:style w:type="paragraph" w:styleId="811">
    <w:name w:val="Title"/>
    <w:basedOn w:val="788"/>
    <w:next w:val="788"/>
    <w:link w:val="8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2" w:customStyle="1">
    <w:name w:val="Заголовок Знак"/>
    <w:basedOn w:val="798"/>
    <w:link w:val="811"/>
    <w:uiPriority w:val="10"/>
    <w:rPr>
      <w:sz w:val="48"/>
      <w:szCs w:val="48"/>
    </w:rPr>
  </w:style>
  <w:style w:type="paragraph" w:styleId="813">
    <w:name w:val="Subtitle"/>
    <w:basedOn w:val="788"/>
    <w:next w:val="788"/>
    <w:link w:val="814"/>
    <w:uiPriority w:val="11"/>
    <w:qFormat/>
    <w:pPr>
      <w:spacing w:before="200" w:after="200"/>
    </w:pPr>
    <w:rPr>
      <w:sz w:val="24"/>
      <w:szCs w:val="24"/>
    </w:rPr>
  </w:style>
  <w:style w:type="character" w:styleId="814" w:customStyle="1">
    <w:name w:val="Подзаголовок Знак"/>
    <w:basedOn w:val="798"/>
    <w:link w:val="813"/>
    <w:uiPriority w:val="11"/>
    <w:rPr>
      <w:sz w:val="24"/>
      <w:szCs w:val="24"/>
    </w:rPr>
  </w:style>
  <w:style w:type="paragraph" w:styleId="815">
    <w:name w:val="Quote"/>
    <w:basedOn w:val="788"/>
    <w:next w:val="788"/>
    <w:link w:val="816"/>
    <w:uiPriority w:val="29"/>
    <w:qFormat/>
    <w:pPr>
      <w:ind w:left="720" w:right="720"/>
    </w:pPr>
    <w:rPr>
      <w:i/>
    </w:rPr>
  </w:style>
  <w:style w:type="character" w:styleId="816" w:customStyle="1">
    <w:name w:val="Цитата 2 Знак"/>
    <w:link w:val="815"/>
    <w:uiPriority w:val="29"/>
    <w:rPr>
      <w:i/>
    </w:rPr>
  </w:style>
  <w:style w:type="paragraph" w:styleId="817">
    <w:name w:val="Intense Quote"/>
    <w:basedOn w:val="788"/>
    <w:next w:val="788"/>
    <w:link w:val="81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8" w:customStyle="1">
    <w:name w:val="Выделенная цитата Знак"/>
    <w:link w:val="817"/>
    <w:uiPriority w:val="30"/>
    <w:rPr>
      <w:i/>
    </w:rPr>
  </w:style>
  <w:style w:type="character" w:styleId="819" w:customStyle="1">
    <w:name w:val="Header Char"/>
    <w:basedOn w:val="798"/>
    <w:uiPriority w:val="99"/>
  </w:style>
  <w:style w:type="character" w:styleId="820" w:customStyle="1">
    <w:name w:val="Footer Char"/>
    <w:basedOn w:val="798"/>
    <w:uiPriority w:val="99"/>
  </w:style>
  <w:style w:type="paragraph" w:styleId="821">
    <w:name w:val="Caption"/>
    <w:basedOn w:val="788"/>
    <w:next w:val="7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 w:customStyle="1">
    <w:name w:val="Caption Char"/>
    <w:uiPriority w:val="99"/>
  </w:style>
  <w:style w:type="table" w:styleId="823" w:customStyle="1">
    <w:name w:val="Table Grid Light"/>
    <w:basedOn w:val="79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4">
    <w:name w:val="Plain Table 1"/>
    <w:basedOn w:val="79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5">
    <w:name w:val="Plain Table 2"/>
    <w:basedOn w:val="79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6">
    <w:name w:val="Plain Table 3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7">
    <w:name w:val="Plain Table 4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Plain Table 5"/>
    <w:basedOn w:val="799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9">
    <w:name w:val="Grid Table 1 Light"/>
    <w:basedOn w:val="79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1"/>
    <w:basedOn w:val="79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2"/>
    <w:basedOn w:val="79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3"/>
    <w:basedOn w:val="79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4"/>
    <w:basedOn w:val="79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5"/>
    <w:basedOn w:val="79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6"/>
    <w:basedOn w:val="79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2"/>
    <w:basedOn w:val="79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1"/>
    <w:basedOn w:val="79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5"/>
    <w:basedOn w:val="79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6"/>
    <w:basedOn w:val="79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"/>
    <w:basedOn w:val="79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1"/>
    <w:basedOn w:val="79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5"/>
    <w:basedOn w:val="79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6"/>
    <w:basedOn w:val="79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4"/>
    <w:basedOn w:val="79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1" w:customStyle="1">
    <w:name w:val="Grid Table 4 - Accent 1"/>
    <w:basedOn w:val="799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2" w:customStyle="1">
    <w:name w:val="Grid Table 4 - Accent 2"/>
    <w:basedOn w:val="799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3" w:customStyle="1">
    <w:name w:val="Grid Table 4 - Accent 3"/>
    <w:basedOn w:val="799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4" w:customStyle="1">
    <w:name w:val="Grid Table 4 - Accent 4"/>
    <w:basedOn w:val="799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5" w:customStyle="1">
    <w:name w:val="Grid Table 4 - Accent 5"/>
    <w:basedOn w:val="799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6" w:customStyle="1">
    <w:name w:val="Grid Table 4 - Accent 6"/>
    <w:basedOn w:val="799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7">
    <w:name w:val="Grid Table 5 Dark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- Accent 1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 - Accent 2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3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- Accent 4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 - Accent 5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 - Accent 6"/>
    <w:basedOn w:val="79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4">
    <w:name w:val="Grid Table 6 Colorful"/>
    <w:basedOn w:val="79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5" w:customStyle="1">
    <w:name w:val="Grid Table 6 Colorful - Accent 1"/>
    <w:basedOn w:val="799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6" w:customStyle="1">
    <w:name w:val="Grid Table 6 Colorful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7" w:customStyle="1">
    <w:name w:val="Grid Table 6 Colorful - Accent 3"/>
    <w:basedOn w:val="799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8" w:customStyle="1">
    <w:name w:val="Grid Table 6 Colorful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9" w:customStyle="1">
    <w:name w:val="Grid Table 6 Colorful - Accent 5"/>
    <w:basedOn w:val="799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0" w:customStyle="1">
    <w:name w:val="Grid Table 6 Colorful - Accent 6"/>
    <w:basedOn w:val="799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1">
    <w:name w:val="Grid Table 7 Colorful"/>
    <w:basedOn w:val="79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7 Colorful - Accent 1"/>
    <w:basedOn w:val="799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2"/>
    <w:basedOn w:val="799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3"/>
    <w:basedOn w:val="799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4"/>
    <w:basedOn w:val="799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5"/>
    <w:basedOn w:val="799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6"/>
    <w:basedOn w:val="799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"/>
    <w:basedOn w:val="79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1"/>
    <w:basedOn w:val="799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2"/>
    <w:basedOn w:val="799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3"/>
    <w:basedOn w:val="799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4"/>
    <w:basedOn w:val="799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5"/>
    <w:basedOn w:val="799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6"/>
    <w:basedOn w:val="799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2"/>
    <w:basedOn w:val="79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1"/>
    <w:basedOn w:val="799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2"/>
    <w:basedOn w:val="799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3"/>
    <w:basedOn w:val="799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4"/>
    <w:basedOn w:val="799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5"/>
    <w:basedOn w:val="799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6"/>
    <w:basedOn w:val="799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2">
    <w:name w:val="List Table 3"/>
    <w:basedOn w:val="79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1"/>
    <w:basedOn w:val="799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"/>
    <w:basedOn w:val="79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1"/>
    <w:basedOn w:val="799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2"/>
    <w:basedOn w:val="799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3"/>
    <w:basedOn w:val="799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4"/>
    <w:basedOn w:val="799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5"/>
    <w:basedOn w:val="799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6"/>
    <w:basedOn w:val="799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5 Dark"/>
    <w:basedOn w:val="79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7" w:customStyle="1">
    <w:name w:val="List Table 5 Dark - Accent 1"/>
    <w:basedOn w:val="799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8" w:customStyle="1">
    <w:name w:val="List Table 5 Dark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9" w:customStyle="1">
    <w:name w:val="List Table 5 Dark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0" w:customStyle="1">
    <w:name w:val="List Table 5 Dark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1" w:customStyle="1">
    <w:name w:val="List Table 5 Dark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2" w:customStyle="1">
    <w:name w:val="List Table 5 Dark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13">
    <w:name w:val="List Table 6 Colorful"/>
    <w:basedOn w:val="79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4" w:customStyle="1">
    <w:name w:val="List Table 6 Colorful - Accent 1"/>
    <w:basedOn w:val="799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5" w:customStyle="1">
    <w:name w:val="List Table 6 Colorful - Accent 2"/>
    <w:basedOn w:val="799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6" w:customStyle="1">
    <w:name w:val="List Table 6 Colorful - Accent 3"/>
    <w:basedOn w:val="799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7" w:customStyle="1">
    <w:name w:val="List Table 6 Colorful - Accent 4"/>
    <w:basedOn w:val="799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8" w:customStyle="1">
    <w:name w:val="List Table 6 Colorful - Accent 5"/>
    <w:basedOn w:val="799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9" w:customStyle="1">
    <w:name w:val="List Table 6 Colorful - Accent 6"/>
    <w:basedOn w:val="799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0">
    <w:name w:val="List Table 7 Colorful"/>
    <w:basedOn w:val="79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7 Colorful - Accent 1"/>
    <w:basedOn w:val="799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2"/>
    <w:basedOn w:val="799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3"/>
    <w:basedOn w:val="799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4"/>
    <w:basedOn w:val="799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5"/>
    <w:basedOn w:val="799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6"/>
    <w:basedOn w:val="799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ned - Accent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8" w:customStyle="1">
    <w:name w:val="Lined - Accent 1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9" w:customStyle="1">
    <w:name w:val="Lined - Accent 2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0" w:customStyle="1">
    <w:name w:val="Lined - Accent 3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1" w:customStyle="1">
    <w:name w:val="Lined - Accent 4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2" w:customStyle="1">
    <w:name w:val="Lined - Accent 5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3" w:customStyle="1">
    <w:name w:val="Lined - Accent 6"/>
    <w:basedOn w:val="799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4" w:customStyle="1">
    <w:name w:val="Bordered &amp; Lined - Accent"/>
    <w:basedOn w:val="799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5" w:customStyle="1">
    <w:name w:val="Bordered &amp; Lined - Accent 1"/>
    <w:basedOn w:val="799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6" w:customStyle="1">
    <w:name w:val="Bordered &amp; Lined - Accent 2"/>
    <w:basedOn w:val="799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7" w:customStyle="1">
    <w:name w:val="Bordered &amp; Lined - Accent 3"/>
    <w:basedOn w:val="799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8" w:customStyle="1">
    <w:name w:val="Bordered &amp; Lined - Accent 4"/>
    <w:basedOn w:val="799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9" w:customStyle="1">
    <w:name w:val="Bordered &amp; Lined - Accent 5"/>
    <w:basedOn w:val="799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0" w:customStyle="1">
    <w:name w:val="Bordered &amp; Lined - Accent 6"/>
    <w:basedOn w:val="799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1" w:customStyle="1">
    <w:name w:val="Bordered"/>
    <w:basedOn w:val="79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2" w:customStyle="1">
    <w:name w:val="Bordered - Accent 1"/>
    <w:basedOn w:val="79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3" w:customStyle="1">
    <w:name w:val="Bordered - Accent 2"/>
    <w:basedOn w:val="79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4" w:customStyle="1">
    <w:name w:val="Bordered - Accent 3"/>
    <w:basedOn w:val="79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5" w:customStyle="1">
    <w:name w:val="Bordered - Accent 4"/>
    <w:basedOn w:val="79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6" w:customStyle="1">
    <w:name w:val="Bordered - Accent 5"/>
    <w:basedOn w:val="79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7" w:customStyle="1">
    <w:name w:val="Bordered - Accent 6"/>
    <w:basedOn w:val="79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8">
    <w:name w:val="footnote text"/>
    <w:basedOn w:val="788"/>
    <w:link w:val="949"/>
    <w:uiPriority w:val="99"/>
    <w:semiHidden/>
    <w:unhideWhenUsed/>
    <w:pPr>
      <w:spacing w:after="40"/>
    </w:pPr>
    <w:rPr>
      <w:sz w:val="18"/>
    </w:rPr>
  </w:style>
  <w:style w:type="character" w:styleId="949" w:customStyle="1">
    <w:name w:val="Текст сноски Знак"/>
    <w:link w:val="948"/>
    <w:uiPriority w:val="99"/>
    <w:rPr>
      <w:sz w:val="18"/>
    </w:rPr>
  </w:style>
  <w:style w:type="character" w:styleId="950">
    <w:name w:val="footnote reference"/>
    <w:basedOn w:val="798"/>
    <w:uiPriority w:val="99"/>
    <w:unhideWhenUsed/>
    <w:rPr>
      <w:vertAlign w:val="superscript"/>
    </w:rPr>
  </w:style>
  <w:style w:type="paragraph" w:styleId="951">
    <w:name w:val="endnote text"/>
    <w:basedOn w:val="788"/>
    <w:link w:val="952"/>
    <w:uiPriority w:val="99"/>
    <w:semiHidden/>
    <w:unhideWhenUsed/>
  </w:style>
  <w:style w:type="character" w:styleId="952" w:customStyle="1">
    <w:name w:val="Текст концевой сноски Знак"/>
    <w:link w:val="951"/>
    <w:uiPriority w:val="99"/>
    <w:rPr>
      <w:sz w:val="20"/>
    </w:rPr>
  </w:style>
  <w:style w:type="character" w:styleId="953">
    <w:name w:val="endnote reference"/>
    <w:basedOn w:val="798"/>
    <w:uiPriority w:val="99"/>
    <w:semiHidden/>
    <w:unhideWhenUsed/>
    <w:rPr>
      <w:vertAlign w:val="superscript"/>
    </w:rPr>
  </w:style>
  <w:style w:type="paragraph" w:styleId="954">
    <w:name w:val="toc 1"/>
    <w:basedOn w:val="788"/>
    <w:next w:val="788"/>
    <w:uiPriority w:val="39"/>
    <w:unhideWhenUsed/>
    <w:pPr>
      <w:spacing w:after="57"/>
    </w:pPr>
  </w:style>
  <w:style w:type="paragraph" w:styleId="955">
    <w:name w:val="toc 2"/>
    <w:basedOn w:val="788"/>
    <w:next w:val="788"/>
    <w:uiPriority w:val="39"/>
    <w:unhideWhenUsed/>
    <w:pPr>
      <w:ind w:left="283"/>
      <w:spacing w:after="57"/>
    </w:pPr>
  </w:style>
  <w:style w:type="paragraph" w:styleId="956">
    <w:name w:val="toc 3"/>
    <w:basedOn w:val="788"/>
    <w:next w:val="788"/>
    <w:uiPriority w:val="39"/>
    <w:unhideWhenUsed/>
    <w:pPr>
      <w:ind w:left="567"/>
      <w:spacing w:after="57"/>
    </w:pPr>
  </w:style>
  <w:style w:type="paragraph" w:styleId="957">
    <w:name w:val="toc 4"/>
    <w:basedOn w:val="788"/>
    <w:next w:val="788"/>
    <w:uiPriority w:val="39"/>
    <w:unhideWhenUsed/>
    <w:pPr>
      <w:ind w:left="850"/>
      <w:spacing w:after="57"/>
    </w:pPr>
  </w:style>
  <w:style w:type="paragraph" w:styleId="958">
    <w:name w:val="toc 5"/>
    <w:basedOn w:val="788"/>
    <w:next w:val="788"/>
    <w:uiPriority w:val="39"/>
    <w:unhideWhenUsed/>
    <w:pPr>
      <w:ind w:left="1134"/>
      <w:spacing w:after="57"/>
    </w:pPr>
  </w:style>
  <w:style w:type="paragraph" w:styleId="959">
    <w:name w:val="toc 6"/>
    <w:basedOn w:val="788"/>
    <w:next w:val="788"/>
    <w:uiPriority w:val="39"/>
    <w:unhideWhenUsed/>
    <w:pPr>
      <w:ind w:left="1417"/>
      <w:spacing w:after="57"/>
    </w:pPr>
  </w:style>
  <w:style w:type="paragraph" w:styleId="960">
    <w:name w:val="toc 7"/>
    <w:basedOn w:val="788"/>
    <w:next w:val="788"/>
    <w:uiPriority w:val="39"/>
    <w:unhideWhenUsed/>
    <w:pPr>
      <w:ind w:left="1701"/>
      <w:spacing w:after="57"/>
    </w:pPr>
  </w:style>
  <w:style w:type="paragraph" w:styleId="961">
    <w:name w:val="toc 8"/>
    <w:basedOn w:val="788"/>
    <w:next w:val="788"/>
    <w:uiPriority w:val="39"/>
    <w:unhideWhenUsed/>
    <w:pPr>
      <w:ind w:left="1984"/>
      <w:spacing w:after="57"/>
    </w:pPr>
  </w:style>
  <w:style w:type="paragraph" w:styleId="962">
    <w:name w:val="toc 9"/>
    <w:basedOn w:val="788"/>
    <w:next w:val="788"/>
    <w:uiPriority w:val="39"/>
    <w:unhideWhenUsed/>
    <w:pPr>
      <w:ind w:left="2268"/>
      <w:spacing w:after="57"/>
    </w:pPr>
  </w:style>
  <w:style w:type="paragraph" w:styleId="963">
    <w:name w:val="TOC Heading"/>
    <w:uiPriority w:val="39"/>
    <w:unhideWhenUsed/>
  </w:style>
  <w:style w:type="paragraph" w:styleId="964">
    <w:name w:val="table of figures"/>
    <w:basedOn w:val="788"/>
    <w:next w:val="788"/>
    <w:uiPriority w:val="99"/>
    <w:unhideWhenUsed/>
  </w:style>
  <w:style w:type="paragraph" w:styleId="965">
    <w:name w:val="Balloon Text"/>
    <w:basedOn w:val="788"/>
    <w:semiHidden/>
    <w:rPr>
      <w:rFonts w:ascii="Tahoma" w:hAnsi="Tahoma" w:cs="Tahoma"/>
      <w:sz w:val="16"/>
      <w:szCs w:val="16"/>
    </w:rPr>
  </w:style>
  <w:style w:type="paragraph" w:styleId="966">
    <w:name w:val="Body Text Indent 2"/>
    <w:basedOn w:val="788"/>
    <w:link w:val="967"/>
    <w:unhideWhenUsed/>
    <w:pPr>
      <w:ind w:left="283"/>
      <w:spacing w:after="120" w:line="480" w:lineRule="auto"/>
      <w:widowControl/>
    </w:pPr>
    <w:rPr>
      <w:sz w:val="24"/>
    </w:rPr>
  </w:style>
  <w:style w:type="character" w:styleId="967" w:customStyle="1">
    <w:name w:val="Основной текст с отступом 2 Знак"/>
    <w:link w:val="966"/>
    <w:rPr>
      <w:sz w:val="24"/>
    </w:rPr>
  </w:style>
  <w:style w:type="table" w:styleId="968">
    <w:name w:val="Table Grid"/>
    <w:basedOn w:val="7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9">
    <w:name w:val="List Number"/>
    <w:basedOn w:val="788"/>
    <w:pPr>
      <w:jc w:val="both"/>
      <w:spacing w:before="60" w:line="360" w:lineRule="auto"/>
      <w:widowControl/>
    </w:pPr>
    <w:rPr>
      <w:sz w:val="28"/>
      <w:szCs w:val="24"/>
    </w:rPr>
  </w:style>
  <w:style w:type="character" w:styleId="970" w:customStyle="1">
    <w:name w:val="Абзац списка Знак"/>
    <w:basedOn w:val="798"/>
    <w:link w:val="971"/>
    <w:uiPriority w:val="34"/>
    <w:qFormat/>
    <w:rPr>
      <w:rFonts w:ascii="Arial" w:hAnsi="Arial" w:cs="Arial"/>
    </w:rPr>
  </w:style>
  <w:style w:type="paragraph" w:styleId="971">
    <w:name w:val="List Paragraph"/>
    <w:basedOn w:val="788"/>
    <w:link w:val="970"/>
    <w:uiPriority w:val="34"/>
    <w:qFormat/>
    <w:pPr>
      <w:contextualSpacing/>
      <w:ind w:left="720"/>
    </w:pPr>
    <w:rPr>
      <w:rFonts w:ascii="Arial" w:hAnsi="Arial" w:cs="Arial"/>
    </w:rPr>
  </w:style>
  <w:style w:type="character" w:styleId="972">
    <w:name w:val="Hyperlink"/>
    <w:rPr>
      <w:strike w:val="0"/>
      <w:color w:val="336699"/>
      <w:u w:val="none"/>
    </w:rPr>
  </w:style>
  <w:style w:type="paragraph" w:styleId="973" w:customStyle="1">
    <w:name w:val="Default"/>
    <w:rPr>
      <w:color w:val="000000"/>
      <w:sz w:val="24"/>
      <w:szCs w:val="24"/>
    </w:rPr>
  </w:style>
  <w:style w:type="paragraph" w:styleId="974">
    <w:name w:val="Normal (Web)"/>
    <w:basedOn w:val="788"/>
    <w:uiPriority w:val="99"/>
    <w:unhideWhenUsed/>
    <w:pPr>
      <w:spacing w:before="100" w:beforeAutospacing="1" w:after="100" w:afterAutospacing="1"/>
      <w:widowControl/>
    </w:pPr>
    <w:rPr>
      <w:sz w:val="24"/>
      <w:szCs w:val="24"/>
    </w:rPr>
  </w:style>
  <w:style w:type="character" w:styleId="975" w:customStyle="1">
    <w:name w:val="Заголовок 3 Знак"/>
    <w:basedOn w:val="798"/>
    <w:link w:val="791"/>
    <w:uiPriority w:val="99"/>
    <w:rPr>
      <w:rFonts w:ascii="Arial" w:hAnsi="Arial" w:cs="Arial"/>
      <w:b/>
      <w:bCs/>
      <w:sz w:val="24"/>
      <w:szCs w:val="24"/>
    </w:rPr>
  </w:style>
  <w:style w:type="paragraph" w:styleId="976">
    <w:name w:val="Header"/>
    <w:basedOn w:val="788"/>
    <w:link w:val="977"/>
    <w:unhideWhenUsed/>
    <w:pPr>
      <w:tabs>
        <w:tab w:val="center" w:pos="4677" w:leader="none"/>
        <w:tab w:val="right" w:pos="9355" w:leader="none"/>
      </w:tabs>
    </w:pPr>
  </w:style>
  <w:style w:type="character" w:styleId="977" w:customStyle="1">
    <w:name w:val="Верхний колонтитул Знак"/>
    <w:basedOn w:val="798"/>
    <w:link w:val="976"/>
  </w:style>
  <w:style w:type="paragraph" w:styleId="978">
    <w:name w:val="Footer"/>
    <w:basedOn w:val="788"/>
    <w:link w:val="979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79" w:customStyle="1">
    <w:name w:val="Нижний колонтитул Знак"/>
    <w:basedOn w:val="798"/>
    <w:link w:val="978"/>
    <w:uiPriority w:val="99"/>
  </w:style>
  <w:style w:type="paragraph" w:styleId="980">
    <w:name w:val="List Bullet"/>
    <w:basedOn w:val="788"/>
    <w:unhideWhenUsed/>
    <w:pPr>
      <w:numPr>
        <w:ilvl w:val="0"/>
        <w:numId w:val="5"/>
      </w:numPr>
      <w:contextualSpacing/>
    </w:pPr>
  </w:style>
  <w:style w:type="character" w:styleId="981">
    <w:name w:val="Strong"/>
    <w:basedOn w:val="798"/>
    <w:uiPriority w:val="22"/>
    <w:qFormat/>
    <w:rPr>
      <w:b/>
      <w:bCs/>
    </w:rPr>
  </w:style>
  <w:style w:type="paragraph" w:styleId="982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83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4">
    <w:name w:val="FollowedHyperlink"/>
    <w:basedOn w:val="798"/>
    <w:semiHidden/>
    <w:unhideWhenUsed/>
    <w:rPr>
      <w:color w:val="800080" w:themeColor="followedHyperlink"/>
      <w:u w:val="single"/>
    </w:rPr>
  </w:style>
  <w:style w:type="paragraph" w:styleId="985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6">
    <w:name w:val="page number"/>
    <w:rPr>
      <w:rFonts w:ascii="Times New Roman" w:hAnsi="Times New Roman"/>
      <w:sz w:val="20"/>
    </w:rPr>
  </w:style>
  <w:style w:type="paragraph" w:styleId="987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character" w:styleId="988" w:customStyle="1">
    <w:name w:val="Заголовок 1 Знак"/>
    <w:basedOn w:val="798"/>
    <w:link w:val="789"/>
    <w:rPr>
      <w:rFonts w:ascii="Arial" w:hAnsi="Arial"/>
      <w:b/>
      <w:sz w:val="40"/>
    </w:rPr>
  </w:style>
  <w:style w:type="character" w:styleId="989" w:customStyle="1">
    <w:name w:val="Заголовок 2 Знак"/>
    <w:basedOn w:val="798"/>
    <w:link w:val="790"/>
    <w:uiPriority w:val="9"/>
    <w:rPr>
      <w:b/>
      <w:sz w:val="32"/>
    </w:rPr>
  </w:style>
  <w:style w:type="paragraph" w:styleId="990" w:customStyle="1">
    <w:name w:val="Пункт"/>
    <w:basedOn w:val="788"/>
    <w:pPr>
      <w:numPr>
        <w:ilvl w:val="2"/>
        <w:numId w:val="9"/>
      </w:numPr>
      <w:jc w:val="both"/>
      <w:spacing w:line="360" w:lineRule="auto"/>
      <w:widowControl/>
    </w:pPr>
    <w:rPr>
      <w:sz w:val="28"/>
    </w:rPr>
  </w:style>
  <w:style w:type="character" w:styleId="991" w:customStyle="1">
    <w:name w:val="Пункт Знак"/>
    <w:rPr>
      <w:sz w:val="28"/>
      <w:lang w:val="ru-RU" w:eastAsia="ru-RU" w:bidi="ar-SA"/>
    </w:rPr>
  </w:style>
  <w:style w:type="paragraph" w:styleId="992" w:customStyle="1">
    <w:name w:val="Подподпункт"/>
    <w:basedOn w:val="788"/>
    <w:pPr>
      <w:numPr>
        <w:ilvl w:val="4"/>
        <w:numId w:val="9"/>
      </w:numPr>
      <w:jc w:val="both"/>
      <w:spacing w:line="360" w:lineRule="auto"/>
      <w:widowControl/>
    </w:pPr>
    <w:rPr>
      <w:sz w:val="28"/>
    </w:rPr>
  </w:style>
  <w:style w:type="paragraph" w:styleId="993" w:customStyle="1">
    <w:name w:val="Знак Знак Знак Знак Знак Знак Знак"/>
    <w:basedOn w:val="788"/>
    <w:pPr>
      <w:spacing w:after="160" w:line="240" w:lineRule="exact"/>
      <w:widowControl/>
    </w:pPr>
    <w:rPr>
      <w:rFonts w:ascii="Verdana" w:hAnsi="Verdana" w:cs="Verdana"/>
      <w:lang w:val="en-US" w:eastAsia="en-US"/>
    </w:rPr>
  </w:style>
  <w:style w:type="paragraph" w:styleId="994" w:customStyle="1">
    <w:name w:val="Стиль1"/>
    <w:basedOn w:val="788"/>
    <w:pPr>
      <w:numPr>
        <w:ilvl w:val="0"/>
        <w:numId w:val="10"/>
      </w:numPr>
      <w:keepLines/>
      <w:keepNext/>
      <w:spacing w:after="60"/>
      <w:suppressLineNumbers/>
    </w:pPr>
    <w:rPr>
      <w:b/>
      <w:bCs/>
      <w:sz w:val="28"/>
      <w:szCs w:val="28"/>
    </w:rPr>
  </w:style>
  <w:style w:type="paragraph" w:styleId="995" w:customStyle="1">
    <w:name w:val="Стиль2"/>
    <w:basedOn w:val="997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/>
      <w:tabs>
        <w:tab w:val="num" w:pos="432" w:leader="none"/>
        <w:tab w:val="num" w:pos="1440" w:leader="none"/>
        <w:tab w:val="num" w:pos="1492" w:leader="none"/>
      </w:tabs>
      <w:suppressLineNumbers/>
    </w:pPr>
    <w:rPr>
      <w:b/>
      <w:bCs/>
      <w:sz w:val="24"/>
      <w:szCs w:val="24"/>
    </w:rPr>
  </w:style>
  <w:style w:type="paragraph" w:styleId="996" w:customStyle="1">
    <w:name w:val="Стиль3"/>
    <w:basedOn w:val="966"/>
    <w:pPr>
      <w:numPr>
        <w:ilvl w:val="2"/>
        <w:numId w:val="10"/>
      </w:numPr>
      <w:jc w:val="both"/>
      <w:spacing w:after="0" w:line="240" w:lineRule="auto"/>
      <w:widowControl w:val="off"/>
    </w:pPr>
    <w:rPr>
      <w:szCs w:val="24"/>
    </w:rPr>
  </w:style>
  <w:style w:type="paragraph" w:styleId="997">
    <w:name w:val="List Number 2"/>
    <w:basedOn w:val="788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998">
    <w:name w:val="Date"/>
    <w:basedOn w:val="788"/>
    <w:next w:val="788"/>
    <w:link w:val="999"/>
    <w:uiPriority w:val="99"/>
    <w:pPr>
      <w:jc w:val="both"/>
      <w:spacing w:after="60"/>
      <w:widowControl/>
    </w:pPr>
    <w:rPr>
      <w:sz w:val="24"/>
      <w:szCs w:val="24"/>
    </w:rPr>
  </w:style>
  <w:style w:type="character" w:styleId="999" w:customStyle="1">
    <w:name w:val="Дата Знак"/>
    <w:basedOn w:val="798"/>
    <w:link w:val="998"/>
    <w:uiPriority w:val="99"/>
    <w:rPr>
      <w:sz w:val="24"/>
      <w:szCs w:val="24"/>
    </w:rPr>
  </w:style>
  <w:style w:type="paragraph" w:styleId="1000" w:customStyle="1">
    <w:name w:val="Заголовок_1"/>
    <w:basedOn w:val="788"/>
    <w:uiPriority w:val="99"/>
    <w:pPr>
      <w:numPr>
        <w:ilvl w:val="0"/>
        <w:numId w:val="19"/>
      </w:numPr>
      <w:jc w:val="center"/>
      <w:keepLines/>
      <w:keepNext/>
      <w:spacing w:before="360" w:after="120"/>
      <w:widowControl/>
      <w:outlineLvl w:val="0"/>
    </w:pPr>
    <w:rPr>
      <w:rFonts w:ascii="Arial" w:hAnsi="Arial" w:cs="Arial"/>
      <w:b/>
      <w:bCs/>
      <w:caps/>
      <w:sz w:val="36"/>
      <w:szCs w:val="28"/>
    </w:rPr>
  </w:style>
  <w:style w:type="paragraph" w:styleId="1001" w:customStyle="1">
    <w:name w:val="Пункт_3"/>
    <w:basedOn w:val="788"/>
    <w:uiPriority w:val="99"/>
    <w:pPr>
      <w:numPr>
        <w:ilvl w:val="2"/>
        <w:numId w:val="19"/>
      </w:numPr>
      <w:jc w:val="both"/>
      <w:widowControl/>
      <w:tabs>
        <w:tab w:val="num" w:pos="4399" w:leader="none"/>
        <w:tab w:val="clear" w:pos="5109" w:leader="none"/>
      </w:tabs>
    </w:pPr>
    <w:rPr>
      <w:sz w:val="28"/>
      <w:szCs w:val="28"/>
    </w:rPr>
  </w:style>
  <w:style w:type="paragraph" w:styleId="1002" w:customStyle="1">
    <w:name w:val="Пункт_2"/>
    <w:basedOn w:val="788"/>
    <w:uiPriority w:val="99"/>
    <w:pPr>
      <w:numPr>
        <w:ilvl w:val="1"/>
        <w:numId w:val="19"/>
      </w:numPr>
      <w:jc w:val="both"/>
      <w:widowControl/>
    </w:pPr>
    <w:rPr>
      <w:sz w:val="28"/>
    </w:rPr>
  </w:style>
  <w:style w:type="paragraph" w:styleId="1003" w:customStyle="1">
    <w:name w:val="Пункт_5"/>
    <w:basedOn w:val="1001"/>
    <w:uiPriority w:val="99"/>
    <w:pPr>
      <w:numPr>
        <w:ilvl w:val="4"/>
      </w:numPr>
    </w:pPr>
  </w:style>
  <w:style w:type="paragraph" w:styleId="1004">
    <w:name w:val="Body Text 2"/>
    <w:basedOn w:val="788"/>
    <w:link w:val="1005"/>
    <w:semiHidden/>
    <w:unhideWhenUsed/>
    <w:pPr>
      <w:spacing w:after="120" w:line="480" w:lineRule="auto"/>
    </w:pPr>
  </w:style>
  <w:style w:type="character" w:styleId="1005" w:customStyle="1">
    <w:name w:val="Основной текст 2 Знак"/>
    <w:basedOn w:val="798"/>
    <w:link w:val="1004"/>
    <w:semiHidden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DE5A38-472A-4982-A744-44F68CEA3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>ОАО "МРСК Северо-Запада"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МРСК Северо-Запада</dc:title>
  <dc:creator>Кондратьева Ольга Владимировна</dc:creator>
  <cp:revision>199</cp:revision>
  <dcterms:created xsi:type="dcterms:W3CDTF">2019-03-19T05:28:00Z</dcterms:created>
  <dcterms:modified xsi:type="dcterms:W3CDTF">2025-11-28T08:55:20Z</dcterms:modified>
</cp:coreProperties>
</file>