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567"/>
        <w:jc w:val="center"/>
        <w:spacing w:after="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ПРОТОКОЛ №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3688631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r>
    </w:p>
    <w:p>
      <w:pPr>
        <w:ind w:left="-567"/>
        <w:jc w:val="center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заочного заседания Закупочной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комиссии по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подведению итогов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запроса котировок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электронной форме на право заключения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договора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на 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поставку устройств РЗА для нужд филиала ПАО "Россети"- Карельское ПМЭС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5"/>
        <w:contextualSpacing w:val="0"/>
        <w:ind w:left="-567"/>
        <w:spacing w:after="0" w:line="240" w:lineRule="auto"/>
        <w:tabs>
          <w:tab w:val="left" w:pos="-142" w:leader="none"/>
        </w:tabs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  <w:r>
        <w:rPr>
          <w:rFonts w:ascii="Times New Roman" w:hAnsi="Times New Roman" w:cs="Times New Roman"/>
          <w:b/>
          <w:caps/>
          <w:sz w:val="24"/>
          <w:szCs w:val="24"/>
        </w:rPr>
      </w:r>
    </w:p>
    <w:tbl>
      <w:tblPr>
        <w:tblW w:w="9923" w:type="dxa"/>
        <w:tblInd w:w="-567" w:type="dxa"/>
        <w:tblLook w:val="0000" w:firstRow="0" w:lastRow="0" w:firstColumn="0" w:lastColumn="0" w:noHBand="0" w:noVBand="0"/>
      </w:tblPr>
      <w:tblGrid>
        <w:gridCol w:w="4661"/>
        <w:gridCol w:w="5262"/>
      </w:tblGrid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г. Санкт-Петербург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262" w:type="dxa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/>
            <w:bookmarkStart w:id="0" w:name="_GoBack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ar-SA"/>
              </w:rPr>
              <w:t xml:space="preserve">15</w:t>
            </w:r>
            <w:bookmarkEnd w:id="0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ar-SA"/>
              </w:rPr>
              <w:t xml:space="preserve">.12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ar-SA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Настоящий запрос котировок в электронной форме проводится с использованием функционала электронной торговой площадки «РТС-Тендер» согласно Правилам работы данной системы.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ВОПРОСЫ ЗАСЕДАНИЯ ЗАКУПОЧНОЙ КОМИССИИ: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contextualSpacing w:val="0"/>
        <w:ind w:left="-567" w:firstLine="0"/>
        <w:jc w:val="both"/>
        <w:spacing w:after="0" w:line="240" w:lineRule="auto"/>
        <w:tabs>
          <w:tab w:val="left" w:pos="-142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1. О присвоении заявкам Участников запроса котировок порядковых номеров в итоговом ранжире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 w:firstLine="0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2.О выборе Победителя запроса котировок.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  </w:t>
      </w:r>
      <w:r>
        <w:rPr>
          <w:rFonts w:ascii="Times New Roman" w:hAnsi="Times New Roman" w:cs="Times New Roman"/>
          <w:b/>
          <w:sz w:val="24"/>
          <w:szCs w:val="24"/>
        </w:rPr>
        <w:t xml:space="preserve">ИНФОРМАЦИЯ О ЗАКУПКЕ</w:t>
      </w:r>
      <w:r>
        <w:rPr>
          <w:rFonts w:ascii="Times New Roman" w:hAnsi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5"/>
        <w:numPr>
          <w:ilvl w:val="1"/>
          <w:numId w:val="1"/>
        </w:numPr>
        <w:contextualSpacing w:val="0"/>
        <w:ind w:left="-567" w:firstLine="0"/>
        <w:spacing w:after="0" w:line="240" w:lineRule="auto"/>
        <w:tabs>
          <w:tab w:val="clear" w:pos="1440" w:leader="none"/>
        </w:tabs>
        <w:rPr>
          <w:rFonts w:ascii="Times New Roman" w:hAnsi="Times New Roman" w:cs="Times New Roman" w:eastAsiaTheme="minorHAnsi"/>
          <w:bCs/>
          <w:sz w:val="24"/>
          <w:szCs w:val="24"/>
        </w:rPr>
      </w:pPr>
      <w:r>
        <w:rPr>
          <w:rFonts w:ascii="Times New Roman" w:hAnsi="Times New Roman" w:cs="Times New Roman" w:eastAsiaTheme="minorHAnsi"/>
          <w:bCs/>
          <w:sz w:val="24"/>
          <w:szCs w:val="24"/>
          <w:lang w:eastAsia="en-US"/>
        </w:rPr>
        <w:t xml:space="preserve">Основание проведения запроса котировок</w:t>
      </w:r>
      <w:r>
        <w:rPr>
          <w:rFonts w:ascii="Times New Roman" w:hAnsi="Times New Roman" w:cs="Times New Roman" w:eastAsiaTheme="minorHAnsi"/>
          <w:bCs/>
          <w:sz w:val="24"/>
          <w:szCs w:val="24"/>
          <w:lang w:eastAsia="en-US"/>
        </w:rPr>
        <w:t xml:space="preserve"> в электронной форме</w:t>
      </w:r>
      <w:r>
        <w:rPr>
          <w:rFonts w:ascii="Times New Roman" w:hAnsi="Times New Roman" w:cs="Times New Roman" w:eastAsiaTheme="minorHAnsi"/>
          <w:bCs/>
          <w:sz w:val="24"/>
          <w:szCs w:val="24"/>
          <w:lang w:eastAsia="en-US"/>
        </w:rPr>
        <w:t xml:space="preserve">:</w:t>
      </w:r>
      <w:r>
        <w:rPr>
          <w:rFonts w:ascii="Times New Roman" w:hAnsi="Times New Roman" w:cs="Times New Roman" w:eastAsiaTheme="minorHAnsi"/>
          <w:bCs/>
          <w:sz w:val="24"/>
          <w:szCs w:val="24"/>
        </w:rPr>
      </w:r>
      <w:r>
        <w:rPr>
          <w:rFonts w:ascii="Times New Roman" w:hAnsi="Times New Roman" w:cs="Times New Roman" w:eastAsiaTheme="minorHAnsi"/>
          <w:bCs/>
          <w:sz w:val="24"/>
          <w:szCs w:val="24"/>
        </w:rPr>
      </w:r>
    </w:p>
    <w:p>
      <w:pPr>
        <w:pStyle w:val="935"/>
        <w:contextualSpacing w:val="0"/>
        <w:ind w:left="-567" w:firstLine="720"/>
        <w:jc w:val="both"/>
        <w:spacing w:before="0" w:after="0" w:line="240" w:lineRule="auto"/>
        <w:rPr>
          <w:sz w:val="22"/>
          <w:szCs w:val="22"/>
        </w:rPr>
        <w:suppressLineNumbers w:val="0"/>
      </w:pPr>
      <w:r>
        <w:rPr>
          <w:rFonts w:ascii="Times New Roman" w:hAnsi="Times New Roman" w:eastAsia="Times New Roman" w:cs="Times New Roman"/>
          <w:bCs/>
          <w:iCs/>
          <w:sz w:val="22"/>
          <w:szCs w:val="22"/>
        </w:rPr>
        <w:t xml:space="preserve">Согласно 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</w:rPr>
        <w:t xml:space="preserve">Распоряжению филиала ПАО «Россети» - МЭС Северо-Запада от 17.11.2025 № 472.</w:t>
      </w:r>
      <w:r>
        <w:rPr>
          <w:rFonts w:ascii="Times New Roman" w:hAnsi="Times New Roman" w:eastAsia="Times New Roman" w:cs="Times New Roman"/>
          <w:bCs/>
          <w:iCs/>
          <w:sz w:val="22"/>
          <w:szCs w:val="22"/>
        </w:rPr>
      </w:r>
      <w:r>
        <w:rPr>
          <w:sz w:val="22"/>
          <w:szCs w:val="22"/>
        </w:rPr>
      </w:r>
    </w:p>
    <w:p>
      <w:pPr>
        <w:pStyle w:val="935"/>
        <w:contextualSpacing w:val="0"/>
        <w:ind w:left="-567" w:firstLine="720"/>
        <w:jc w:val="both"/>
        <w:spacing w:before="0" w:after="0" w:line="240" w:lineRule="auto"/>
        <w:suppressLineNumbers w:val="0"/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звещение о проведении запроса котировок в электронной форме от 26.11.2025 г. опубликованы на официальном сайте Единой информационной системы в сфере закупок (www.zakupki.gov.ru) № 32515453273, с копией публикации на электронной торговой площадке системы «Р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ТС-Тендер» (www.rts-tender.ru) закупка № 3688631.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</w:r>
      <w:r/>
    </w:p>
    <w:p>
      <w:pPr>
        <w:pStyle w:val="935"/>
        <w:contextualSpacing w:val="0"/>
        <w:ind w:left="-567" w:firstLine="720"/>
        <w:jc w:val="both"/>
        <w:spacing w:before="0"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  <w:suppressLineNumbers w:val="0"/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Способ и предмет закупки: запрос котировок в электронной форме на право заключения договора на поставку устройств РЗА для нужд фи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лиала ПАО "Россети"- Карельское ПМЭС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</w:r>
    </w:p>
    <w:tbl>
      <w:tblPr>
        <w:tblW w:w="5457" w:type="pct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3"/>
        <w:gridCol w:w="4252"/>
        <w:gridCol w:w="2835"/>
      </w:tblGrid>
      <w:tr>
        <w:tblPrEx/>
        <w:trPr>
          <w:trHeight w:val="64"/>
        </w:trPr>
        <w:tc>
          <w:tcPr>
            <w:tcW w:w="312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Сведения об объемах закупаемых товаров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2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Начальная (максимальная)</w:t>
            </w:r>
            <w:r>
              <w:rPr>
                <w:rFonts w:ascii="Times New Roman" w:hAnsi="Times New Roman" w:eastAsia="Times New Roman" w:cs="Times New Roman"/>
              </w:rPr>
              <w:t xml:space="preserve"> цена договора, рублей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pStyle w:val="950"/>
              <w:jc w:val="center"/>
              <w:spacing w:after="0" w:line="240" w:lineRule="auto"/>
              <w:tabs>
                <w:tab w:val="left" w:pos="900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Сроки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оказания услуг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64"/>
        </w:trPr>
        <w:tc>
          <w:tcPr>
            <w:tcW w:w="312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 соответствии с извещением о закупке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252" w:type="dxa"/>
            <w:vAlign w:val="center"/>
            <w:textDirection w:val="lrTb"/>
            <w:noWrap w:val="false"/>
          </w:tcPr>
          <w:p>
            <w:pPr>
              <w:ind w:left="39"/>
              <w:jc w:val="center"/>
              <w:spacing w:after="0" w:line="24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  <w:t xml:space="preserve"> без НДС 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</w:p>
          <w:p>
            <w:pPr>
              <w:ind w:left="39"/>
              <w:jc w:val="center"/>
              <w:spacing w:after="0" w:line="24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  <w:t xml:space="preserve">кроме того, НДС 20%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white"/>
                <w:lang w:eastAsia="ru-RU"/>
              </w:rPr>
              <w:t xml:space="preserve">271 420,80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</w:p>
          <w:p>
            <w:pPr>
              <w:ind w:left="39"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highlight w:val="white"/>
              </w:rPr>
              <w:t xml:space="preserve">с НДС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  <w:lang w:eastAsia="en-US"/>
              </w:rPr>
              <w:t xml:space="preserve">с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white"/>
              </w:rPr>
              <w:t xml:space="preserve">«01» января  2026</w:t>
            </w: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  <w:lang w:eastAsia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highlight w:val="white"/>
              </w:rPr>
              <w:t xml:space="preserve">по «31» марта 2026</w:t>
            </w: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b w:val="0"/>
                <w:bCs w:val="0"/>
                <w:sz w:val="20"/>
                <w:szCs w:val="20"/>
                <w:highlight w:val="white"/>
              </w:rPr>
            </w:r>
          </w:p>
        </w:tc>
      </w:tr>
    </w:tbl>
    <w:p>
      <w:pPr>
        <w:ind w:left="-567" w:firstLine="0"/>
        <w:jc w:val="both"/>
        <w:spacing w:before="120" w:after="120" w:line="240" w:lineRule="auto"/>
        <w:tabs>
          <w:tab w:val="num" w:pos="-142" w:leader="none"/>
          <w:tab w:val="clear" w:pos="720" w:leader="none"/>
        </w:tabs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 На момент о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кончания срока подачи заявок 08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.12.2025 г. 12:00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(время московское) на ЭТП «РТС-Тендер»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было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подано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5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(пять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заявок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tbl>
      <w:tblPr>
        <w:tblW w:w="9923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607"/>
        <w:gridCol w:w="2658"/>
        <w:gridCol w:w="3215"/>
        <w:gridCol w:w="1620"/>
        <w:gridCol w:w="6"/>
        <w:gridCol w:w="1817"/>
      </w:tblGrid>
      <w:tr>
        <w:tblPrEx/>
        <w:trPr>
          <w:cantSplit/>
          <w:trHeight w:val="564"/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607" w:type="dxa"/>
            <w:vAlign w:val="center"/>
            <w:vMerge w:val="restart"/>
            <w:textDirection w:val="btLr"/>
            <w:noWrap w:val="false"/>
          </w:tcPr>
          <w:p>
            <w:pPr>
              <w:ind w:left="113" w:right="113"/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№ заявки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6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32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Наименование участника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gridSpan w:val="3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Ценовое предложение  Участника, поданное в составе заявки, руб.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</w:tr>
      <w:tr>
        <w:tblPrEx/>
        <w:trPr>
          <w:cantSplit/>
          <w:trHeight w:val="144"/>
          <w:tblHeader/>
        </w:trPr>
        <w:tc>
          <w:tcPr>
            <w:shd w:val="clear" w:color="ffffff" w:fill="d9d9d9" w:themeFill="background1" w:themeFillShade="D9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shd w:val="clear" w:color="ffffff" w:fill="d9d9d9" w:themeFill="background1" w:themeFillShade="D9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shd w:val="clear" w:color="ffffff" w:fill="d9d9d9" w:themeFill="background1" w:themeFillShade="D9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с НДС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</w:tr>
      <w:tr>
        <w:tblPrEx/>
        <w:trPr>
          <w:cantSplit/>
          <w:trHeight w:val="3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05.12.2025 13:18 (МСК)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ЗАО "СЭА"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50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05.12.2025 14:20 (МСК)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"ЭНЕРГОТЕХНИЧЕСКАЯ КОМПАНИЯ"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41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05.12.2025 14:58 (МСК)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"ЗЭТО"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1 356 900,00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1 628 280,00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42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08.12.2025 08:11 (МСК)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"ЛАНКОРД"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42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  <w:t xml:space="preserve">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08.12.2025 08:16 (МСК)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"ИМПУЛЬС"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1 231 560,00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1 477 872,00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</w:tbl>
    <w:p>
      <w:pPr>
        <w:ind w:left="-567" w:firstLine="0"/>
        <w:jc w:val="both"/>
        <w:spacing w:before="120" w:after="120" w:line="240" w:lineRule="auto"/>
        <w:tabs>
          <w:tab w:val="num" w:pos="-142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highlight w:val="white"/>
        </w:rPr>
        <w:t xml:space="preserve">III. </w:t>
      </w:r>
      <w:r>
        <w:rPr>
          <w:rFonts w:ascii="Times New Roman" w:hAnsi="Times New Roman" w:cs="Times New Roman"/>
          <w:b/>
          <w:highlight w:val="white"/>
        </w:rPr>
        <w:t xml:space="preserve">РЕЗУЛЬТАТЫ РАССМОТРЕНИЯ ЗАЯВОК: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numPr>
          <w:ilvl w:val="1"/>
          <w:numId w:val="21"/>
        </w:numPr>
        <w:contextualSpacing w:val="0"/>
        <w:ind w:left="-567" w:firstLine="0"/>
        <w:jc w:val="both"/>
        <w:spacing w:after="120" w:line="240" w:lineRule="auto"/>
        <w:tabs>
          <w:tab w:val="left" w:pos="-562" w:leader="none"/>
          <w:tab w:val="left" w:pos="-142" w:leader="none"/>
        </w:tabs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На этапе рассмотрения заявок участников нет отклоненных заявок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Протоколом от 11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.1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2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.2025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г.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№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1/3688631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Закупочной комиссией приняты следующие решения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tbl>
      <w:tblPr>
        <w:tblW w:w="5309" w:type="pct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882"/>
        <w:gridCol w:w="2666"/>
        <w:gridCol w:w="4819"/>
        <w:gridCol w:w="1566"/>
      </w:tblGrid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№ заявки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textDirection w:val="lrTb"/>
            <w:noWrap w:val="false"/>
          </w:tcPr>
          <w:p>
            <w:pPr>
              <w:pStyle w:val="947"/>
              <w:rPr>
                <w:bCs/>
                <w:sz w:val="20"/>
                <w:szCs w:val="20"/>
                <w:highlight w:val="white"/>
              </w:rPr>
            </w:pPr>
            <w:r>
              <w:rPr>
                <w:bCs/>
                <w:sz w:val="20"/>
                <w:szCs w:val="20"/>
                <w:highlight w:val="white"/>
              </w:rPr>
              <w:t xml:space="preserve">Наименование участника</w:t>
            </w:r>
            <w:r>
              <w:rPr>
                <w:bCs/>
                <w:sz w:val="20"/>
                <w:szCs w:val="20"/>
                <w:highlight w:val="white"/>
              </w:rPr>
            </w:r>
            <w:r>
              <w:rPr>
                <w:bCs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pStyle w:val="947"/>
              <w:rPr>
                <w:bCs/>
                <w:sz w:val="20"/>
                <w:szCs w:val="20"/>
                <w:highlight w:val="white"/>
              </w:rPr>
            </w:pPr>
            <w:r>
              <w:rPr>
                <w:bCs/>
                <w:sz w:val="20"/>
                <w:szCs w:val="20"/>
                <w:highlight w:val="white"/>
              </w:rPr>
              <w:t xml:space="preserve">Принятое решение</w:t>
            </w:r>
            <w:r>
              <w:rPr>
                <w:bCs/>
                <w:sz w:val="20"/>
                <w:szCs w:val="20"/>
                <w:highlight w:val="white"/>
              </w:rPr>
            </w:r>
            <w:r>
              <w:rPr>
                <w:bCs/>
                <w:sz w:val="20"/>
                <w:szCs w:val="20"/>
                <w:highlight w:val="white"/>
              </w:rPr>
            </w:r>
          </w:p>
        </w:tc>
        <w:tc>
          <w:tcPr>
            <w:tcW w:w="1566" w:type="dxa"/>
            <w:vAlign w:val="center"/>
            <w:textDirection w:val="lrTb"/>
            <w:noWrap w:val="false"/>
          </w:tcPr>
          <w:p>
            <w:pPr>
              <w:pStyle w:val="947"/>
              <w:rPr>
                <w:bCs/>
                <w:sz w:val="20"/>
                <w:szCs w:val="20"/>
                <w:highlight w:val="white"/>
              </w:rPr>
            </w:pPr>
            <w:r>
              <w:rPr>
                <w:bCs/>
                <w:sz w:val="20"/>
                <w:szCs w:val="20"/>
                <w:highlight w:val="white"/>
              </w:rPr>
              <w:t xml:space="preserve">Основания </w:t>
            </w:r>
            <w:r>
              <w:rPr>
                <w:bCs/>
                <w:sz w:val="20"/>
                <w:szCs w:val="20"/>
                <w:highlight w:val="white"/>
              </w:rPr>
            </w:r>
            <w:r>
              <w:rPr>
                <w:bCs/>
                <w:sz w:val="20"/>
                <w:szCs w:val="20"/>
                <w:highlight w:val="white"/>
              </w:rPr>
            </w:r>
          </w:p>
          <w:p>
            <w:pPr>
              <w:pStyle w:val="947"/>
              <w:rPr>
                <w:bCs/>
                <w:sz w:val="20"/>
                <w:szCs w:val="20"/>
                <w:highlight w:val="white"/>
              </w:rPr>
            </w:pPr>
            <w:r>
              <w:rPr>
                <w:bCs/>
                <w:sz w:val="20"/>
                <w:szCs w:val="20"/>
                <w:highlight w:val="white"/>
              </w:rPr>
              <w:t xml:space="preserve">отклонения заявки</w:t>
            </w:r>
            <w:r>
              <w:rPr>
                <w:bCs/>
                <w:sz w:val="20"/>
                <w:szCs w:val="20"/>
                <w:highlight w:val="white"/>
              </w:rPr>
            </w:r>
            <w:r>
              <w:rPr>
                <w:bCs/>
                <w:sz w:val="20"/>
                <w:szCs w:val="20"/>
                <w:highlight w:val="white"/>
              </w:rPr>
            </w:r>
          </w:p>
        </w:tc>
      </w:tr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ЗАО "СЭА"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Извещения о проведении запроса котировок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заявку и допустить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tcW w:w="156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white"/>
              </w:rPr>
              <w:outlineLvl w:val="0"/>
            </w:pPr>
            <w:r>
              <w:rPr>
                <w:rFonts w:ascii="Times New Roman" w:hAnsi="Times New Roman" w:eastAsia="Times New Roman"/>
                <w:sz w:val="20"/>
                <w:szCs w:val="20"/>
                <w:highlight w:val="white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white"/>
              </w:rPr>
            </w:r>
          </w:p>
        </w:tc>
      </w:tr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"ЭНЕРГОТЕХНИЧЕСКАЯ КОМПАНИЯ"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Извещения о проведении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котировок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заявку и допустить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</w:p>
        </w:tc>
        <w:tc>
          <w:tcPr>
            <w:tcW w:w="15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/>
                <w:highlight w:val="white"/>
              </w:rPr>
              <w:outlineLvl w:val="0"/>
            </w:pPr>
            <w:r>
              <w:rPr>
                <w:rFonts w:ascii="Times New Roman" w:hAnsi="Times New Roman" w:eastAsia="Times New Roman"/>
                <w:sz w:val="20"/>
                <w:szCs w:val="20"/>
                <w:highlight w:val="white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</w:p>
        </w:tc>
      </w:tr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3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"ЗЭТО"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Извещения о проведении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котировок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заявку и допустить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</w:p>
        </w:tc>
        <w:tc>
          <w:tcPr>
            <w:tcW w:w="15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/>
                <w:highlight w:val="white"/>
              </w:rPr>
              <w:outlineLvl w:val="0"/>
            </w:pPr>
            <w:r>
              <w:rPr>
                <w:rFonts w:ascii="Times New Roman" w:hAnsi="Times New Roman" w:eastAsia="Times New Roman"/>
                <w:sz w:val="20"/>
                <w:szCs w:val="20"/>
                <w:highlight w:val="white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</w:p>
        </w:tc>
      </w:tr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4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"ЛАНКОРД"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Извещения о проведении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котировок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заявку и допустить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</w:p>
        </w:tc>
        <w:tc>
          <w:tcPr>
            <w:tcW w:w="15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/>
                <w:highlight w:val="white"/>
              </w:rPr>
              <w:outlineLvl w:val="0"/>
            </w:pPr>
            <w:r>
              <w:rPr>
                <w:rFonts w:ascii="Times New Roman" w:hAnsi="Times New Roman" w:eastAsia="Times New Roman"/>
                <w:sz w:val="20"/>
                <w:szCs w:val="20"/>
                <w:highlight w:val="white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</w:p>
        </w:tc>
      </w:tr>
      <w:tr>
        <w:tblPrEx/>
        <w:trPr>
          <w:tblHeader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5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26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"ИМПУЛЬС"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48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Извещения о проведении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котировок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заявку и допустить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  <w:highlight w:val="white"/>
              </w:rPr>
            </w:r>
          </w:p>
        </w:tc>
        <w:tc>
          <w:tcPr>
            <w:tcW w:w="156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/>
                <w:highlight w:val="white"/>
              </w:rPr>
              <w:outlineLvl w:val="0"/>
            </w:pPr>
            <w:r>
              <w:rPr>
                <w:rFonts w:ascii="Times New Roman" w:hAnsi="Times New Roman" w:eastAsia="Times New Roman"/>
                <w:sz w:val="20"/>
                <w:szCs w:val="20"/>
                <w:highlight w:val="white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</w:p>
        </w:tc>
      </w:tr>
    </w:tbl>
    <w:p>
      <w:pPr>
        <w:contextualSpacing w:val="0"/>
        <w:ind w:left="0" w:firstLine="0"/>
        <w:jc w:val="both"/>
        <w:spacing w:before="120" w:after="0" w:line="240" w:lineRule="auto"/>
        <w:tabs>
          <w:tab w:val="left" w:pos="-142" w:leader="none"/>
          <w:tab w:val="clear" w:pos="6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2.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Провести аукционную процедуру на понижение цены заявок участников (переторжку):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numPr>
          <w:ilvl w:val="0"/>
          <w:numId w:val="27"/>
        </w:numPr>
        <w:contextualSpacing w:val="0"/>
        <w:ind w:left="-567" w:firstLine="0"/>
        <w:jc w:val="both"/>
        <w:spacing w:after="0" w:line="240" w:lineRule="auto"/>
        <w:tabs>
          <w:tab w:val="left" w:pos="-142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Форма проведения процедуры переторжки – очная с использованием функционала </w:t>
      </w:r>
      <w:r>
        <w:rPr>
          <w:rFonts w:ascii="Times New Roman" w:hAnsi="Times New Roman" w:cs="Times New Roman"/>
          <w:sz w:val="24"/>
          <w:szCs w:val="24"/>
          <w:highlight w:val="white"/>
        </w:rPr>
        <w:br/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«РТС-Тендер».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5"/>
        <w:numPr>
          <w:ilvl w:val="0"/>
          <w:numId w:val="27"/>
        </w:numPr>
        <w:contextualSpacing w:val="0"/>
        <w:ind w:left="-567" w:firstLine="0"/>
        <w:jc w:val="both"/>
        <w:spacing w:after="0" w:line="240" w:lineRule="auto"/>
        <w:tabs>
          <w:tab w:val="left" w:pos="-142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Шаг переторжки –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20 000,00 (двадцать тысяч) рублей 00 копеек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contextualSpacing w:val="0"/>
        <w:ind w:left="-567" w:firstLine="0"/>
        <w:jc w:val="both"/>
        <w:spacing w:after="0" w:line="240" w:lineRule="auto"/>
        <w:tabs>
          <w:tab w:val="left" w:pos="-142" w:leader="none"/>
        </w:tabs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Дата и время про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ведения процедуры переторжки –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12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.12.2025 г. в 11: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00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(время москов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ское)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contextualSpacing w:val="0"/>
        <w:ind w:left="-567" w:right="425" w:firstLine="0"/>
        <w:jc w:val="both"/>
        <w:spacing w:after="0" w:line="240" w:lineRule="auto"/>
        <w:tabs>
          <w:tab w:val="clear" w:pos="208" w:leader="none"/>
        </w:tabs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IV. 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СВЕДЕНИЯ О ЦЕНОВЫХ ПРЕДЛОЖЕНИЯХ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</w:p>
    <w:tbl>
      <w:tblPr>
        <w:tblpPr w:horzAnchor="margin" w:tblpX="-532" w:vertAnchor="text" w:tblpY="82" w:leftFromText="180" w:topFromText="0" w:rightFromText="180" w:bottomFromText="0"/>
        <w:tblW w:w="530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075"/>
        <w:gridCol w:w="1559"/>
        <w:gridCol w:w="1417"/>
        <w:gridCol w:w="1417"/>
        <w:gridCol w:w="1460"/>
      </w:tblGrid>
      <w:tr>
        <w:tblPrEx/>
        <w:trPr>
          <w:trHeight w:val="753"/>
          <w:tblHeader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4075" w:type="dxa"/>
            <w:vAlign w:val="center"/>
            <w:vMerge w:val="restart"/>
            <w:textDirection w:val="lrTb"/>
            <w:noWrap w:val="false"/>
          </w:tcPr>
          <w:p>
            <w:pPr>
              <w:ind w:hanging="40"/>
              <w:jc w:val="center"/>
              <w:spacing w:after="0" w:line="240" w:lineRule="auto"/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  <w:lang w:eastAsia="en-US"/>
              </w:rPr>
              <w:t xml:space="preserve">Наименование участника</w:t>
            </w:r>
            <w:r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  <w:lang w:eastAsia="en-US"/>
              </w:rPr>
              <w:t xml:space="preserve">Ценовое предло</w:t>
            </w:r>
            <w:r>
              <w:rPr>
                <w:rFonts w:ascii="Times New Roman" w:hAnsi="Times New Roman" w:cs="Times New Roman" w:eastAsiaTheme="minorHAnsi"/>
                <w:bCs/>
                <w:sz w:val="20"/>
                <w:szCs w:val="20"/>
                <w:highlight w:val="white"/>
                <w:lang w:eastAsia="en-US"/>
              </w:rPr>
              <w:t xml:space="preserve">жение поданное в составе заявки, руб.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87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Ценов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ое предложение после переторжки, руб.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420"/>
          <w:tblHeader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7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без НДС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без НДС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  <w:lang w:eastAsia="en-US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387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Участник 1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ЗАО "СЭА"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1 337 104,00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6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1 604 524,80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387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Участник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"ЭНЕРГОТЕХНИЧЕСКАЯ КОМПАНИЯ"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1 297 104,00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1 556 524,80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387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Участник 3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"ЗЭТО"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1 356 900,00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1 628 280,00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1 356 900,00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1 628 280,00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387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Участник 4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"ЛАНКОРД"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1 357 104,00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1 628 524,80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1 297 104,00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1 556 524,80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387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 xml:space="preserve">Участник 5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"ИМПУЛЬС"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1 231 560,00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  <w:t xml:space="preserve">1 477 872,00 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1 211 560,00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  <w:tc>
          <w:tcPr>
            <w:shd w:val="clear" w:color="ffffff" w:fill="ffffff"/>
            <w:tcW w:w="14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1 453 872,00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</w:tbl>
    <w:p>
      <w:pPr>
        <w:contextualSpacing w:val="0"/>
        <w:ind w:left="-567" w:firstLine="0"/>
        <w:jc w:val="both"/>
        <w:spacing w:before="120" w:after="0" w:line="240" w:lineRule="auto"/>
        <w:tabs>
          <w:tab w:val="left" w:pos="-142" w:leader="none"/>
        </w:tabs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V.решениЕ </w:t>
      </w:r>
      <w:r>
        <w:rPr>
          <w:rFonts w:ascii="Times New Roman" w:hAnsi="Times New Roman" w:cs="Times New Roman"/>
          <w:b/>
          <w:caps/>
          <w:sz w:val="24"/>
          <w:szCs w:val="24"/>
        </w:rPr>
        <w:t xml:space="preserve">ЗАКУПОЧНОЙ</w:t>
      </w:r>
      <w:r>
        <w:rPr>
          <w:rFonts w:ascii="Times New Roman" w:hAnsi="Times New Roman" w:cs="Times New Roman"/>
          <w:b/>
          <w:caps/>
          <w:sz w:val="24"/>
          <w:szCs w:val="24"/>
        </w:rPr>
        <w:t xml:space="preserve"> КОМИССИИ</w:t>
      </w:r>
      <w:r>
        <w:rPr>
          <w:rFonts w:ascii="Times New Roman" w:hAnsi="Times New Roman" w:cs="Times New Roman"/>
          <w:b/>
          <w:cap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>
      <w:pPr>
        <w:numPr>
          <w:ilvl w:val="0"/>
          <w:numId w:val="29"/>
        </w:numPr>
        <w:ind w:left="-567" w:firstLine="0"/>
        <w:jc w:val="both"/>
        <w:spacing w:after="120" w:line="240" w:lineRule="auto"/>
        <w:tabs>
          <w:tab w:val="num" w:pos="-142" w:leader="none"/>
          <w:tab w:val="clear" w:pos="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Определить следующий итоговый ранжир: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176" w:type="pct"/>
        <w:tblInd w:w="-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85"/>
        <w:gridCol w:w="7100"/>
      </w:tblGrid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textDirection w:val="lrTb"/>
            <w:noWrap w:val="false"/>
          </w:tcPr>
          <w:p>
            <w:pPr>
              <w:ind w:hanging="40"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Место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textDirection w:val="lrTb"/>
            <w:noWrap w:val="false"/>
          </w:tcPr>
          <w:p>
            <w:pPr>
              <w:ind w:hanging="40"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Участник запроса котировок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Участник 5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"ИМПУЛЬС"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Участник 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"ЭНЕРГОТЕХНИЧЕСКАЯ КОМПАНИЯ"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Участник 4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"ЛАНКОРД"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Участник 1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ЗАО "СЭА"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0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  <w:t xml:space="preserve">Участник 3 </w:t>
            </w:r>
            <w:r>
              <w:rPr>
                <w:rFonts w:ascii="Times New Roman" w:hAnsi="Times New Roman" w:eastAsia="Times New Roman" w:cs="Times New Roman"/>
                <w:color w:val="202020"/>
                <w:sz w:val="20"/>
                <w:szCs w:val="20"/>
                <w:highlight w:val="white"/>
              </w:rPr>
              <w:t xml:space="preserve">ООО "ЗЭТО"</w:t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r>
          </w:p>
        </w:tc>
      </w:tr>
    </w:tbl>
    <w:p>
      <w:pPr>
        <w:pStyle w:val="935"/>
        <w:numPr>
          <w:ilvl w:val="0"/>
          <w:numId w:val="29"/>
        </w:numPr>
        <w:contextualSpacing w:val="0"/>
        <w:ind w:left="-567" w:firstLine="0"/>
        <w:jc w:val="both"/>
        <w:spacing w:before="120" w:after="120" w:line="240" w:lineRule="auto"/>
        <w:tabs>
          <w:tab w:val="num" w:pos="-142" w:leader="none"/>
          <w:tab w:val="clear" w:pos="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 учетом итогового ранжира признать победителем запроса котировок в электронной форме на право заключения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договора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поставку устройств РЗА для нужд филиала ПАО "Россети"- Карельское ПМЭС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участника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ООО "ИМПУЛЬС"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ценой заявки </w:t>
      </w:r>
      <w:r>
        <w:rPr>
          <w:rFonts w:ascii="Times New Roman" w:hAnsi="Times New Roman" w:cs="Times New Roman"/>
          <w:bCs/>
          <w:sz w:val="24"/>
          <w:szCs w:val="24"/>
        </w:rPr>
        <w:t xml:space="preserve">1 453 872,00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  <w:t xml:space="preserve">Один миллион четыреста пятьдесят три тысячи восемьсот семьдесят два</w:t>
      </w:r>
      <w:r>
        <w:rPr>
          <w:rFonts w:ascii="Times New Roman" w:hAnsi="Times New Roman" w:cs="Times New Roman"/>
          <w:bCs/>
          <w:sz w:val="24"/>
          <w:szCs w:val="24"/>
        </w:rPr>
        <w:t xml:space="preserve">) рубля</w:t>
      </w:r>
      <w:r>
        <w:rPr>
          <w:rFonts w:ascii="Times New Roman" w:hAnsi="Times New Roman" w:cs="Times New Roman"/>
          <w:bCs/>
          <w:sz w:val="24"/>
          <w:szCs w:val="24"/>
        </w:rPr>
        <w:t xml:space="preserve"> 00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копеек</w:t>
      </w:r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r>
        <w:rPr>
          <w:rFonts w:ascii="Times New Roman" w:hAnsi="Times New Roman" w:cs="Times New Roman"/>
          <w:bCs/>
          <w:sz w:val="24"/>
          <w:szCs w:val="24"/>
        </w:rPr>
        <w:t xml:space="preserve"> НДС 20%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9"/>
        </w:numPr>
        <w:ind w:left="-567" w:firstLine="0"/>
        <w:jc w:val="both"/>
        <w:spacing w:after="0" w:line="240" w:lineRule="auto"/>
        <w:tabs>
          <w:tab w:val="num" w:pos="-142" w:leader="none"/>
          <w:tab w:val="clear" w:pos="66" w:leader="none"/>
        </w:tabs>
      </w:pPr>
      <w:r>
        <w:rPr>
          <w:rFonts w:ascii="Times New Roman" w:hAnsi="Times New Roman" w:cs="Times New Roman"/>
          <w:bCs/>
          <w:sz w:val="24"/>
          <w:szCs w:val="24"/>
        </w:rPr>
        <w:t xml:space="preserve">Договорному отделу филиала ПАО «Россети» - МЭС Северо-Запада (Потемкиной И.В.)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-567"/>
        <w:jc w:val="both"/>
        <w:spacing w:after="120" w:line="240" w:lineRule="auto"/>
        <w:tabs>
          <w:tab w:val="num" w:pos="-142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</w:t>
      </w:r>
      <w:r>
        <w:rPr>
          <w:rFonts w:ascii="Times New Roman" w:hAnsi="Times New Roman" w:cs="Times New Roman"/>
          <w:bCs/>
          <w:sz w:val="24"/>
          <w:szCs w:val="24"/>
        </w:rPr>
        <w:t xml:space="preserve">.1.  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срок не ранее, чем 10 (десять) дней и не позднее, чем 20 (двадцать) дней с даты размещения на официальном сайте Единой информационной системы в сфере закупок настоящего протокола заключить договор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поставку устройств РЗА для нужд филиала ПАО "Россети"- Карельское ПМЭС</w:t>
      </w:r>
      <w:r>
        <w:rPr>
          <w:rFonts w:ascii="Times New Roman" w:hAnsi="Times New Roman" w:cs="Times New Roman"/>
          <w:bCs/>
          <w:sz w:val="24"/>
          <w:szCs w:val="24"/>
        </w:rPr>
        <w:t xml:space="preserve"> с </w:t>
      </w:r>
      <w:r>
        <w:rPr>
          <w:rFonts w:ascii="Times New Roman" w:hAnsi="Times New Roman" w:cs="Times New Roman"/>
          <w:bCs/>
          <w:sz w:val="24"/>
          <w:szCs w:val="24"/>
        </w:rPr>
        <w:t xml:space="preserve">ООО "ИМПУЛЬС"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сумму </w:t>
      </w:r>
      <w:r>
        <w:rPr>
          <w:rFonts w:ascii="Times New Roman" w:hAnsi="Times New Roman" w:cs="Times New Roman"/>
          <w:bCs/>
          <w:sz w:val="24"/>
          <w:szCs w:val="24"/>
        </w:rPr>
        <w:t xml:space="preserve">1 453 872,00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  <w:t xml:space="preserve">Один миллион четыреста пятьдесят три тысячи восемьсот семьдесят два</w:t>
      </w:r>
      <w:r>
        <w:rPr>
          <w:rFonts w:ascii="Times New Roman" w:hAnsi="Times New Roman" w:cs="Times New Roman"/>
          <w:bCs/>
          <w:sz w:val="24"/>
          <w:szCs w:val="24"/>
        </w:rPr>
        <w:t xml:space="preserve">) рубля</w:t>
      </w:r>
      <w:r>
        <w:rPr>
          <w:rFonts w:ascii="Times New Roman" w:hAnsi="Times New Roman" w:cs="Times New Roman"/>
          <w:bCs/>
          <w:sz w:val="24"/>
          <w:szCs w:val="24"/>
        </w:rPr>
        <w:t xml:space="preserve"> 00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копеек</w:t>
      </w:r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r>
        <w:rPr>
          <w:rFonts w:ascii="Times New Roman" w:hAnsi="Times New Roman" w:cs="Times New Roman"/>
          <w:bCs/>
          <w:sz w:val="24"/>
          <w:szCs w:val="24"/>
        </w:rPr>
        <w:t xml:space="preserve"> НДС 20%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5309" w:type="pct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706"/>
        <w:gridCol w:w="1984"/>
        <w:gridCol w:w="2126"/>
        <w:gridCol w:w="4117"/>
      </w:tblGrid>
      <w:tr>
        <w:tblPrEx/>
        <w:trPr>
          <w:trHeight w:val="1326"/>
        </w:trPr>
        <w:tc>
          <w:tcPr>
            <w:tcW w:w="1706" w:type="dxa"/>
            <w:vAlign w:val="center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редседател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Закупочной  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940"/>
              <w:ind w:firstLine="0"/>
              <w:jc w:val="left"/>
              <w:keepNext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Воробьева Е.С.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411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  <w:t xml:space="preserve">Заместитель генерального директора по экономике и финансам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филиала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ПАО «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Россети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» - МЭС Северо-Запада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960"/>
        </w:trPr>
        <w:tc>
          <w:tcPr>
            <w:tcW w:w="17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Закупочной комиссии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Соломатина Т.Д.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4117" w:type="dxa"/>
            <w:vAlign w:val="center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пециалист 1 категории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отдела организации регламентированных закупок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филиала ПАО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- МЭС Северо-Запада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850" w:bottom="851" w:left="1701" w:header="708" w:footer="283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68902650"/>
      <w:docPartObj>
        <w:docPartGallery w:val="Page Numbers (Bottom of Page)"/>
        <w:docPartUnique w:val="true"/>
      </w:docPartObj>
      <w:rPr>
        <w:rFonts w:ascii="Times New Roman" w:hAnsi="Times New Roman" w:cs="Times New Roman"/>
        <w:sz w:val="16"/>
        <w:szCs w:val="16"/>
      </w:rPr>
    </w:sdtPr>
    <w:sdtContent>
      <w:p>
        <w:pPr>
          <w:pStyle w:val="938"/>
          <w:jc w:val="center"/>
        </w:pPr>
        <w:r>
          <w:rPr>
            <w:rFonts w:ascii="Times New Roman" w:hAnsi="Times New Roman" w:cs="Times New Roman"/>
            <w:sz w:val="16"/>
            <w:szCs w:val="16"/>
          </w:rPr>
          <w:t xml:space="preserve">ПРОТОКОЛ № 2/3688631</w:t>
        </w:r>
        <w:r>
          <w:rPr>
            <w:rFonts w:ascii="Times New Roman" w:hAnsi="Times New Roman" w:cs="Times New Roman"/>
            <w:sz w:val="16"/>
            <w:szCs w:val="16"/>
          </w:rPr>
        </w:r>
        <w:r/>
      </w:p>
      <w:p>
        <w:pPr>
          <w:pStyle w:val="938"/>
          <w:jc w:val="center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sz w:val="16"/>
            <w:szCs w:val="16"/>
          </w:rPr>
          <w:t xml:space="preserve">заочного заседания Закупочной комиссии по подведению итогов запроса котировок в электронной форме на право заключения договора на поставку устройств РЗА для нужд филиала ПАО "Россети"- Карельское ПМЭС</w:t>
        </w:r>
        <w:r>
          <w:rPr>
            <w:rFonts w:ascii="Times New Roman" w:hAnsi="Times New Roman" w:cs="Times New Roman"/>
            <w:sz w:val="16"/>
            <w:szCs w:val="16"/>
          </w:rPr>
        </w:r>
        <w:r>
          <w:rPr>
            <w:rFonts w:ascii="Times New Roman" w:hAnsi="Times New Roman" w:cs="Times New Roman"/>
            <w:sz w:val="16"/>
            <w:szCs w:val="16"/>
          </w:rPr>
        </w:r>
      </w:p>
      <w:p>
        <w:pPr>
          <w:pStyle w:val="938"/>
          <w:jc w:val="center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sz w:val="16"/>
            <w:szCs w:val="16"/>
          </w:rPr>
          <w:fldChar w:fldCharType="begin"/>
        </w:r>
        <w:r>
          <w:rPr>
            <w:rFonts w:ascii="Times New Roman" w:hAnsi="Times New Roman" w:cs="Times New Roman"/>
            <w:sz w:val="16"/>
            <w:szCs w:val="16"/>
          </w:rPr>
          <w:instrText xml:space="preserve">PAGE   \* MERGEFORMAT</w:instrText>
        </w:r>
        <w:r>
          <w:rPr>
            <w:rFonts w:ascii="Times New Roman" w:hAnsi="Times New Roman" w:cs="Times New Roman"/>
            <w:sz w:val="16"/>
            <w:szCs w:val="16"/>
          </w:rPr>
          <w:fldChar w:fldCharType="separate"/>
        </w:r>
        <w:r>
          <w:rPr>
            <w:rFonts w:ascii="Times New Roman" w:hAnsi="Times New Roman" w:cs="Times New Roman"/>
            <w:sz w:val="16"/>
            <w:szCs w:val="16"/>
          </w:rPr>
          <w:t xml:space="preserve">2</w:t>
        </w:r>
        <w:r>
          <w:rPr>
            <w:rFonts w:ascii="Times New Roman" w:hAnsi="Times New Roman" w:cs="Times New Roman"/>
            <w:sz w:val="16"/>
            <w:szCs w:val="16"/>
          </w:rPr>
          <w:fldChar w:fldCharType="end"/>
        </w:r>
        <w:r>
          <w:rPr>
            <w:rFonts w:ascii="Times New Roman" w:hAnsi="Times New Roman" w:cs="Times New Roman"/>
            <w:sz w:val="16"/>
            <w:szCs w:val="16"/>
          </w:rPr>
        </w:r>
        <w:r>
          <w:rPr>
            <w:rFonts w:ascii="Times New Roman" w:hAnsi="Times New Roman" w:cs="Times New Roman"/>
            <w:sz w:val="16"/>
            <w:szCs w:val="16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 w:ascii="Times New Roman" w:hAnsi="Times New Roman" w:cs="Times New Roman"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26" w:hanging="1800"/>
      </w:pPr>
      <w:rPr>
        <w:rFonts w:hint="default" w:ascii="Times New Roman" w:hAnsi="Times New Roman" w:cs="Times New Roman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7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multiLevelType w:val="hybridMultilevel"/>
    <w:lvl w:ilvl="0">
      <w:start w:val="5"/>
      <w:numFmt w:val="upperRoman"/>
      <w:isLgl w:val="false"/>
      <w:suff w:val="tab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1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180"/>
        <w:tabs>
          <w:tab w:val="num" w:pos="720" w:leader="none"/>
        </w:tabs>
      </w:pPr>
      <w:rPr>
        <w:rFonts w:hint="default"/>
        <w:sz w:val="24"/>
        <w:szCs w:val="24"/>
      </w:rPr>
    </w:lvl>
    <w:lvl w:ilvl="1">
      <w:start w:val="1"/>
      <w:numFmt w:val="decimal"/>
      <w:isLgl w:val="false"/>
      <w:suff w:val="tab"/>
      <w:lvlText w:val="Форма %2."/>
      <w:lvlJc w:val="left"/>
      <w:pPr>
        <w:ind w:left="1440" w:hanging="360"/>
        <w:tabs>
          <w:tab w:val="num" w:pos="2160" w:leader="none"/>
        </w:tabs>
      </w:pPr>
      <w:rPr>
        <w:rFonts w:hint="default" w:ascii="Times New Roman" w:hAnsi="Times New Roman" w:cs="Times New Roman"/>
        <w:b/>
        <w:bCs/>
        <w:i w:val="0"/>
        <w:iCs w:val="0"/>
        <w:sz w:val="26"/>
        <w:szCs w:val="26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3">
    <w:multiLevelType w:val="hybridMultilevel"/>
    <w:lvl w:ilvl="0">
      <w:start w:val="1"/>
      <w:numFmt w:val="decimal"/>
      <w:pStyle w:val="914"/>
      <w:isLgl w:val="false"/>
      <w:suff w:val="tab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915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916"/>
      <w:isLgl w:val="false"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917"/>
      <w:isLgl w:val="false"/>
      <w:suff w:val="tab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918"/>
      <w:isLgl w:val="false"/>
      <w:suff w:val="tab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33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5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7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9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1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3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5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7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93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2"/>
        <w:szCs w:val="24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180"/>
        <w:tabs>
          <w:tab w:val="num" w:pos="216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0"/>
        <w:szCs w:val="20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 w:ascii="Times New Roman" w:hAnsi="Times New Roman" w:cs="Times New Roman"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26" w:hanging="1800"/>
      </w:pPr>
      <w:rPr>
        <w:rFonts w:hint="default" w:ascii="Times New Roman" w:hAnsi="Times New Roman" w:cs="Times New Roman"/>
        <w:sz w:val="24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 w:ascii="Times New Roman" w:hAnsi="Times New Roman" w:cs="Times New Roman"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26" w:hanging="1800"/>
      </w:pPr>
      <w:rPr>
        <w:rFonts w:hint="default" w:ascii="Times New Roman" w:hAnsi="Times New Roman" w:cs="Times New Roman"/>
        <w:sz w:val="24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 w:ascii="Times New Roman" w:hAnsi="Times New Roman" w:cs="Times New Roman"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1146" w:hanging="720"/>
      </w:pPr>
      <w:rPr>
        <w:rFonts w:hint="default" w:ascii="Times New Roman" w:hAnsi="Times New Roman" w:cs="Times New Roman"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1506" w:hanging="1080"/>
      </w:pPr>
      <w:rPr>
        <w:rFonts w:hint="default" w:ascii="Times New Roman" w:hAnsi="Times New Roman" w:cs="Times New Roman"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66" w:hanging="1440"/>
      </w:pPr>
      <w:rPr>
        <w:rFonts w:hint="default" w:ascii="Times New Roman" w:hAnsi="Times New Roman" w:cs="Times New Roman"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26" w:hanging="1800"/>
      </w:pPr>
      <w:rPr>
        <w:rFonts w:hint="default" w:ascii="Times New Roman" w:hAnsi="Times New Roman" w:cs="Times New Roman"/>
        <w:sz w:val="24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9"/>
  </w:num>
  <w:num w:numId="5">
    <w:abstractNumId w:val="14"/>
  </w:num>
  <w:num w:numId="6">
    <w:abstractNumId w:val="15"/>
  </w:num>
  <w:num w:numId="7">
    <w:abstractNumId w:val="10"/>
  </w:num>
  <w:num w:numId="8">
    <w:abstractNumId w:val="0"/>
  </w:num>
  <w:num w:numId="9">
    <w:abstractNumId w:val="7"/>
  </w:num>
  <w:num w:numId="10">
    <w:abstractNumId w:val="11"/>
  </w:num>
  <w:num w:numId="11">
    <w:abstractNumId w:val="8"/>
  </w:num>
  <w:num w:numId="12">
    <w:abstractNumId w:val="5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4"/>
  </w:num>
  <w:num w:numId="16">
    <w:abstractNumId w:val="2"/>
  </w:num>
  <w:num w:numId="17">
    <w:abstractNumId w:val="12"/>
  </w:num>
  <w:num w:numId="18">
    <w:abstractNumId w:val="16"/>
  </w:num>
  <w:num w:numId="19">
    <w:abstractNumId w:val="17"/>
  </w:num>
  <w:num w:numId="20">
    <w:abstractNumId w:val="18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6">
    <w:name w:val="Heading 1 Char"/>
    <w:basedOn w:val="919"/>
    <w:link w:val="914"/>
    <w:uiPriority w:val="9"/>
    <w:rPr>
      <w:rFonts w:ascii="Arial" w:hAnsi="Arial" w:eastAsia="Arial" w:cs="Arial"/>
      <w:sz w:val="40"/>
      <w:szCs w:val="40"/>
    </w:rPr>
  </w:style>
  <w:style w:type="character" w:styleId="747">
    <w:name w:val="Heading 2 Char"/>
    <w:basedOn w:val="919"/>
    <w:link w:val="915"/>
    <w:uiPriority w:val="9"/>
    <w:rPr>
      <w:rFonts w:ascii="Arial" w:hAnsi="Arial" w:eastAsia="Arial" w:cs="Arial"/>
      <w:sz w:val="34"/>
    </w:rPr>
  </w:style>
  <w:style w:type="character" w:styleId="748">
    <w:name w:val="Heading 3 Char"/>
    <w:basedOn w:val="919"/>
    <w:link w:val="916"/>
    <w:uiPriority w:val="9"/>
    <w:rPr>
      <w:rFonts w:ascii="Arial" w:hAnsi="Arial" w:eastAsia="Arial" w:cs="Arial"/>
      <w:sz w:val="30"/>
      <w:szCs w:val="30"/>
    </w:rPr>
  </w:style>
  <w:style w:type="character" w:styleId="749">
    <w:name w:val="Heading 4 Char"/>
    <w:basedOn w:val="919"/>
    <w:link w:val="91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>
    <w:name w:val="Heading 5 Char"/>
    <w:basedOn w:val="919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751">
    <w:name w:val="Heading 6"/>
    <w:basedOn w:val="913"/>
    <w:next w:val="913"/>
    <w:link w:val="75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2">
    <w:name w:val="Heading 6 Char"/>
    <w:basedOn w:val="919"/>
    <w:link w:val="751"/>
    <w:uiPriority w:val="9"/>
    <w:rPr>
      <w:rFonts w:ascii="Arial" w:hAnsi="Arial" w:eastAsia="Arial" w:cs="Arial"/>
      <w:b/>
      <w:bCs/>
      <w:sz w:val="22"/>
      <w:szCs w:val="22"/>
    </w:rPr>
  </w:style>
  <w:style w:type="paragraph" w:styleId="753">
    <w:name w:val="Heading 7"/>
    <w:basedOn w:val="913"/>
    <w:next w:val="913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4">
    <w:name w:val="Heading 7 Char"/>
    <w:basedOn w:val="919"/>
    <w:link w:val="75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5">
    <w:name w:val="Heading 8"/>
    <w:basedOn w:val="913"/>
    <w:next w:val="913"/>
    <w:link w:val="75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6">
    <w:name w:val="Heading 8 Char"/>
    <w:basedOn w:val="919"/>
    <w:link w:val="755"/>
    <w:uiPriority w:val="9"/>
    <w:rPr>
      <w:rFonts w:ascii="Arial" w:hAnsi="Arial" w:eastAsia="Arial" w:cs="Arial"/>
      <w:i/>
      <w:iCs/>
      <w:sz w:val="22"/>
      <w:szCs w:val="22"/>
    </w:rPr>
  </w:style>
  <w:style w:type="paragraph" w:styleId="757">
    <w:name w:val="Heading 9"/>
    <w:basedOn w:val="913"/>
    <w:next w:val="913"/>
    <w:link w:val="75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8">
    <w:name w:val="Heading 9 Char"/>
    <w:basedOn w:val="919"/>
    <w:link w:val="757"/>
    <w:uiPriority w:val="9"/>
    <w:rPr>
      <w:rFonts w:ascii="Arial" w:hAnsi="Arial" w:eastAsia="Arial" w:cs="Arial"/>
      <w:i/>
      <w:iCs/>
      <w:sz w:val="21"/>
      <w:szCs w:val="21"/>
    </w:rPr>
  </w:style>
  <w:style w:type="paragraph" w:styleId="759">
    <w:name w:val="No Spacing"/>
    <w:uiPriority w:val="1"/>
    <w:qFormat/>
    <w:pPr>
      <w:spacing w:before="0" w:after="0" w:line="240" w:lineRule="auto"/>
    </w:pPr>
  </w:style>
  <w:style w:type="character" w:styleId="760">
    <w:name w:val="Title Char"/>
    <w:basedOn w:val="919"/>
    <w:link w:val="948"/>
    <w:uiPriority w:val="10"/>
    <w:rPr>
      <w:sz w:val="48"/>
      <w:szCs w:val="48"/>
    </w:rPr>
  </w:style>
  <w:style w:type="paragraph" w:styleId="761">
    <w:name w:val="Subtitle"/>
    <w:basedOn w:val="913"/>
    <w:next w:val="913"/>
    <w:link w:val="762"/>
    <w:uiPriority w:val="11"/>
    <w:qFormat/>
    <w:pPr>
      <w:spacing w:before="200" w:after="200"/>
    </w:pPr>
    <w:rPr>
      <w:sz w:val="24"/>
      <w:szCs w:val="24"/>
    </w:rPr>
  </w:style>
  <w:style w:type="character" w:styleId="762">
    <w:name w:val="Subtitle Char"/>
    <w:basedOn w:val="919"/>
    <w:link w:val="761"/>
    <w:uiPriority w:val="11"/>
    <w:rPr>
      <w:sz w:val="24"/>
      <w:szCs w:val="24"/>
    </w:rPr>
  </w:style>
  <w:style w:type="paragraph" w:styleId="763">
    <w:name w:val="Quote"/>
    <w:basedOn w:val="913"/>
    <w:next w:val="913"/>
    <w:link w:val="764"/>
    <w:uiPriority w:val="29"/>
    <w:qFormat/>
    <w:pPr>
      <w:ind w:left="720" w:right="720"/>
    </w:pPr>
    <w:rPr>
      <w:i/>
    </w:rPr>
  </w:style>
  <w:style w:type="character" w:styleId="764">
    <w:name w:val="Quote Char"/>
    <w:link w:val="763"/>
    <w:uiPriority w:val="29"/>
    <w:rPr>
      <w:i/>
    </w:rPr>
  </w:style>
  <w:style w:type="paragraph" w:styleId="765">
    <w:name w:val="Intense Quote"/>
    <w:basedOn w:val="913"/>
    <w:next w:val="913"/>
    <w:link w:val="76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>
    <w:name w:val="Intense Quote Char"/>
    <w:link w:val="765"/>
    <w:uiPriority w:val="30"/>
    <w:rPr>
      <w:i/>
    </w:rPr>
  </w:style>
  <w:style w:type="character" w:styleId="767">
    <w:name w:val="Header Char"/>
    <w:basedOn w:val="919"/>
    <w:link w:val="936"/>
    <w:uiPriority w:val="99"/>
  </w:style>
  <w:style w:type="character" w:styleId="768">
    <w:name w:val="Footer Char"/>
    <w:basedOn w:val="919"/>
    <w:link w:val="938"/>
    <w:uiPriority w:val="99"/>
  </w:style>
  <w:style w:type="paragraph" w:styleId="769">
    <w:name w:val="Caption"/>
    <w:basedOn w:val="913"/>
    <w:next w:val="913"/>
    <w:link w:val="7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0">
    <w:name w:val="Caption Char"/>
    <w:basedOn w:val="919"/>
    <w:link w:val="769"/>
    <w:uiPriority w:val="35"/>
    <w:rPr>
      <w:b/>
      <w:bCs/>
      <w:color w:val="4f81bd" w:themeColor="accent1"/>
      <w:sz w:val="18"/>
      <w:szCs w:val="18"/>
    </w:rPr>
  </w:style>
  <w:style w:type="table" w:styleId="771">
    <w:name w:val="Table Grid Light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0">
    <w:name w:val="List Table 7 Colorful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1">
    <w:name w:val="List Table 7 Colorful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2">
    <w:name w:val="List Table 7 Colorful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3">
    <w:name w:val="List Table 7 Colorful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4">
    <w:name w:val="List Table 7 Colorful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75">
    <w:name w:val="Lined - Accent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7">
    <w:name w:val="Lined - Accent 2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8">
    <w:name w:val="Lined - Accent 3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9">
    <w:name w:val="Lined - Accent 4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0">
    <w:name w:val="Lined - Accent 5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1">
    <w:name w:val="Lined - Accent 6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2">
    <w:name w:val="Bordered &amp; Lined - Accent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4">
    <w:name w:val="Bordered &amp; Lined - Accent 2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5">
    <w:name w:val="Bordered &amp; Lined - Accent 3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6">
    <w:name w:val="Bordered &amp; Lined - Accent 4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7">
    <w:name w:val="Bordered &amp; Lined - Accent 5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8">
    <w:name w:val="Bordered &amp; Lined - Accent 6"/>
    <w:basedOn w:val="9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9">
    <w:name w:val="Bordered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96">
    <w:name w:val="footnote text"/>
    <w:basedOn w:val="913"/>
    <w:link w:val="897"/>
    <w:uiPriority w:val="99"/>
    <w:semiHidden/>
    <w:unhideWhenUsed/>
    <w:pPr>
      <w:spacing w:after="40" w:line="240" w:lineRule="auto"/>
    </w:pPr>
    <w:rPr>
      <w:sz w:val="18"/>
    </w:rPr>
  </w:style>
  <w:style w:type="character" w:styleId="897">
    <w:name w:val="Footnote Text Char"/>
    <w:link w:val="896"/>
    <w:uiPriority w:val="99"/>
    <w:rPr>
      <w:sz w:val="18"/>
    </w:rPr>
  </w:style>
  <w:style w:type="character" w:styleId="898">
    <w:name w:val="footnote reference"/>
    <w:basedOn w:val="919"/>
    <w:uiPriority w:val="99"/>
    <w:unhideWhenUsed/>
    <w:rPr>
      <w:vertAlign w:val="superscript"/>
    </w:rPr>
  </w:style>
  <w:style w:type="paragraph" w:styleId="899">
    <w:name w:val="endnote text"/>
    <w:basedOn w:val="913"/>
    <w:link w:val="900"/>
    <w:uiPriority w:val="99"/>
    <w:semiHidden/>
    <w:unhideWhenUsed/>
    <w:pPr>
      <w:spacing w:after="0" w:line="240" w:lineRule="auto"/>
    </w:pPr>
    <w:rPr>
      <w:sz w:val="20"/>
    </w:rPr>
  </w:style>
  <w:style w:type="character" w:styleId="900">
    <w:name w:val="Endnote Text Char"/>
    <w:link w:val="899"/>
    <w:uiPriority w:val="99"/>
    <w:rPr>
      <w:sz w:val="20"/>
    </w:rPr>
  </w:style>
  <w:style w:type="character" w:styleId="901">
    <w:name w:val="endnote reference"/>
    <w:basedOn w:val="919"/>
    <w:uiPriority w:val="99"/>
    <w:semiHidden/>
    <w:unhideWhenUsed/>
    <w:rPr>
      <w:vertAlign w:val="superscript"/>
    </w:rPr>
  </w:style>
  <w:style w:type="paragraph" w:styleId="902">
    <w:name w:val="toc 1"/>
    <w:basedOn w:val="913"/>
    <w:next w:val="913"/>
    <w:uiPriority w:val="39"/>
    <w:unhideWhenUsed/>
    <w:pPr>
      <w:ind w:left="0" w:right="0" w:firstLine="0"/>
      <w:spacing w:after="57"/>
    </w:pPr>
  </w:style>
  <w:style w:type="paragraph" w:styleId="903">
    <w:name w:val="toc 2"/>
    <w:basedOn w:val="913"/>
    <w:next w:val="913"/>
    <w:uiPriority w:val="39"/>
    <w:unhideWhenUsed/>
    <w:pPr>
      <w:ind w:left="283" w:right="0" w:firstLine="0"/>
      <w:spacing w:after="57"/>
    </w:pPr>
  </w:style>
  <w:style w:type="paragraph" w:styleId="904">
    <w:name w:val="toc 3"/>
    <w:basedOn w:val="913"/>
    <w:next w:val="913"/>
    <w:uiPriority w:val="39"/>
    <w:unhideWhenUsed/>
    <w:pPr>
      <w:ind w:left="567" w:right="0" w:firstLine="0"/>
      <w:spacing w:after="57"/>
    </w:pPr>
  </w:style>
  <w:style w:type="paragraph" w:styleId="905">
    <w:name w:val="toc 4"/>
    <w:basedOn w:val="913"/>
    <w:next w:val="913"/>
    <w:uiPriority w:val="39"/>
    <w:unhideWhenUsed/>
    <w:pPr>
      <w:ind w:left="850" w:right="0" w:firstLine="0"/>
      <w:spacing w:after="57"/>
    </w:pPr>
  </w:style>
  <w:style w:type="paragraph" w:styleId="906">
    <w:name w:val="toc 5"/>
    <w:basedOn w:val="913"/>
    <w:next w:val="913"/>
    <w:uiPriority w:val="39"/>
    <w:unhideWhenUsed/>
    <w:pPr>
      <w:ind w:left="1134" w:right="0" w:firstLine="0"/>
      <w:spacing w:after="57"/>
    </w:pPr>
  </w:style>
  <w:style w:type="paragraph" w:styleId="907">
    <w:name w:val="toc 6"/>
    <w:basedOn w:val="913"/>
    <w:next w:val="913"/>
    <w:uiPriority w:val="39"/>
    <w:unhideWhenUsed/>
    <w:pPr>
      <w:ind w:left="1417" w:right="0" w:firstLine="0"/>
      <w:spacing w:after="57"/>
    </w:pPr>
  </w:style>
  <w:style w:type="paragraph" w:styleId="908">
    <w:name w:val="toc 7"/>
    <w:basedOn w:val="913"/>
    <w:next w:val="913"/>
    <w:uiPriority w:val="39"/>
    <w:unhideWhenUsed/>
    <w:pPr>
      <w:ind w:left="1701" w:right="0" w:firstLine="0"/>
      <w:spacing w:after="57"/>
    </w:pPr>
  </w:style>
  <w:style w:type="paragraph" w:styleId="909">
    <w:name w:val="toc 8"/>
    <w:basedOn w:val="913"/>
    <w:next w:val="913"/>
    <w:uiPriority w:val="39"/>
    <w:unhideWhenUsed/>
    <w:pPr>
      <w:ind w:left="1984" w:right="0" w:firstLine="0"/>
      <w:spacing w:after="57"/>
    </w:pPr>
  </w:style>
  <w:style w:type="paragraph" w:styleId="910">
    <w:name w:val="toc 9"/>
    <w:basedOn w:val="913"/>
    <w:next w:val="913"/>
    <w:uiPriority w:val="39"/>
    <w:unhideWhenUsed/>
    <w:pPr>
      <w:ind w:left="2268" w:right="0" w:firstLine="0"/>
      <w:spacing w:after="57"/>
    </w:pPr>
  </w:style>
  <w:style w:type="paragraph" w:styleId="911">
    <w:name w:val="TOC Heading"/>
    <w:uiPriority w:val="39"/>
    <w:unhideWhenUsed/>
  </w:style>
  <w:style w:type="paragraph" w:styleId="912">
    <w:name w:val="table of figures"/>
    <w:basedOn w:val="913"/>
    <w:next w:val="913"/>
    <w:uiPriority w:val="99"/>
    <w:unhideWhenUsed/>
    <w:pPr>
      <w:spacing w:after="0" w:afterAutospacing="0"/>
    </w:pPr>
  </w:style>
  <w:style w:type="paragraph" w:styleId="913" w:default="1">
    <w:name w:val="Normal"/>
    <w:qFormat/>
  </w:style>
  <w:style w:type="paragraph" w:styleId="914">
    <w:name w:val="Heading 1"/>
    <w:basedOn w:val="913"/>
    <w:next w:val="913"/>
    <w:link w:val="924"/>
    <w:qFormat/>
    <w:pPr>
      <w:numPr>
        <w:ilvl w:val="0"/>
        <w:numId w:val="2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915">
    <w:name w:val="Heading 2"/>
    <w:basedOn w:val="929"/>
    <w:next w:val="913"/>
    <w:link w:val="925"/>
    <w:qFormat/>
    <w:pPr>
      <w:numPr>
        <w:ilvl w:val="1"/>
        <w:numId w:val="2"/>
      </w:numPr>
      <w:ind w:left="630" w:hanging="630"/>
      <w:jc w:val="both"/>
      <w:keepLines/>
      <w:keepNext/>
      <w:spacing w:before="2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916">
    <w:name w:val="Heading 3"/>
    <w:basedOn w:val="913"/>
    <w:next w:val="913"/>
    <w:link w:val="926"/>
    <w:unhideWhenUsed/>
    <w:qFormat/>
    <w:pPr>
      <w:numPr>
        <w:ilvl w:val="2"/>
        <w:numId w:val="2"/>
      </w:numPr>
      <w:ind w:left="72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917">
    <w:name w:val="Heading 4"/>
    <w:basedOn w:val="913"/>
    <w:next w:val="913"/>
    <w:link w:val="927"/>
    <w:unhideWhenUsed/>
    <w:qFormat/>
    <w:pPr>
      <w:numPr>
        <w:ilvl w:val="3"/>
        <w:numId w:val="2"/>
      </w:numPr>
      <w:ind w:left="1426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918">
    <w:name w:val="Heading 5"/>
    <w:basedOn w:val="913"/>
    <w:next w:val="913"/>
    <w:link w:val="928"/>
    <w:uiPriority w:val="9"/>
    <w:qFormat/>
    <w:pPr>
      <w:numPr>
        <w:ilvl w:val="4"/>
        <w:numId w:val="2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919" w:default="1">
    <w:name w:val="Default Paragraph Font"/>
    <w:uiPriority w:val="1"/>
    <w:semiHidden/>
    <w:unhideWhenUsed/>
  </w:style>
  <w:style w:type="table" w:styleId="9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1" w:default="1">
    <w:name w:val="No List"/>
    <w:uiPriority w:val="99"/>
    <w:semiHidden/>
    <w:unhideWhenUsed/>
  </w:style>
  <w:style w:type="paragraph" w:styleId="922">
    <w:name w:val="Document Map"/>
    <w:basedOn w:val="913"/>
    <w:link w:val="92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3" w:customStyle="1">
    <w:name w:val="Схема документа Знак"/>
    <w:basedOn w:val="919"/>
    <w:link w:val="922"/>
    <w:uiPriority w:val="99"/>
    <w:semiHidden/>
    <w:rPr>
      <w:rFonts w:ascii="Tahoma" w:hAnsi="Tahoma" w:cs="Tahoma"/>
      <w:sz w:val="16"/>
      <w:szCs w:val="16"/>
    </w:rPr>
  </w:style>
  <w:style w:type="character" w:styleId="924" w:customStyle="1">
    <w:name w:val="Заголовок 1 Знак"/>
    <w:basedOn w:val="919"/>
    <w:link w:val="914"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925" w:customStyle="1">
    <w:name w:val="Заголовок 2 Знак"/>
    <w:basedOn w:val="919"/>
    <w:link w:val="915"/>
    <w:rPr>
      <w:rFonts w:ascii="Arial" w:hAnsi="Arial" w:eastAsia="Times New Roman" w:cs="Arial"/>
      <w:b/>
      <w:bCs/>
      <w:szCs w:val="20"/>
      <w:lang w:val="en-US"/>
    </w:rPr>
  </w:style>
  <w:style w:type="character" w:styleId="926" w:customStyle="1">
    <w:name w:val="Заголовок 3 Знак"/>
    <w:basedOn w:val="919"/>
    <w:link w:val="916"/>
    <w:rPr>
      <w:rFonts w:ascii="Arial" w:hAnsi="Arial" w:eastAsia="Times New Roman" w:cs="Times New Roman"/>
      <w:b/>
      <w:bCs/>
      <w:szCs w:val="26"/>
    </w:rPr>
  </w:style>
  <w:style w:type="character" w:styleId="927" w:customStyle="1">
    <w:name w:val="Заголовок 4 Знак"/>
    <w:basedOn w:val="919"/>
    <w:link w:val="917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928" w:customStyle="1">
    <w:name w:val="Заголовок 5 Знак"/>
    <w:basedOn w:val="919"/>
    <w:link w:val="918"/>
    <w:uiPriority w:val="9"/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929">
    <w:name w:val="Body Text"/>
    <w:basedOn w:val="913"/>
    <w:link w:val="930"/>
    <w:uiPriority w:val="99"/>
    <w:semiHidden/>
    <w:unhideWhenUsed/>
    <w:pPr>
      <w:spacing w:after="120"/>
    </w:pPr>
  </w:style>
  <w:style w:type="character" w:styleId="930" w:customStyle="1">
    <w:name w:val="Основной текст Знак"/>
    <w:basedOn w:val="919"/>
    <w:link w:val="929"/>
    <w:uiPriority w:val="99"/>
    <w:semiHidden/>
  </w:style>
  <w:style w:type="paragraph" w:styleId="931" w:customStyle="1">
    <w:name w:val="Table Contents"/>
    <w:basedOn w:val="913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932" w:customStyle="1">
    <w:name w:val="Table Heading"/>
    <w:basedOn w:val="931"/>
    <w:uiPriority w:val="99"/>
    <w:pPr>
      <w:jc w:val="center"/>
    </w:pPr>
    <w:rPr>
      <w:b/>
      <w:bCs/>
    </w:rPr>
  </w:style>
  <w:style w:type="table" w:styleId="933">
    <w:name w:val="Table Grid"/>
    <w:basedOn w:val="92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34">
    <w:name w:val="Hyperlink"/>
    <w:uiPriority w:val="99"/>
    <w:unhideWhenUsed/>
    <w:rPr>
      <w:color w:val="0000ff"/>
      <w:u w:val="single"/>
    </w:rPr>
  </w:style>
  <w:style w:type="paragraph" w:styleId="935">
    <w:name w:val="List Paragraph"/>
    <w:basedOn w:val="913"/>
    <w:link w:val="946"/>
    <w:uiPriority w:val="34"/>
    <w:qFormat/>
    <w:pPr>
      <w:contextualSpacing/>
      <w:ind w:left="720"/>
    </w:pPr>
  </w:style>
  <w:style w:type="paragraph" w:styleId="936">
    <w:name w:val="Header"/>
    <w:basedOn w:val="913"/>
    <w:link w:val="93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7" w:customStyle="1">
    <w:name w:val="Верхний колонтитул Знак"/>
    <w:basedOn w:val="919"/>
    <w:link w:val="936"/>
    <w:uiPriority w:val="99"/>
  </w:style>
  <w:style w:type="paragraph" w:styleId="938">
    <w:name w:val="Footer"/>
    <w:basedOn w:val="913"/>
    <w:link w:val="93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9" w:customStyle="1">
    <w:name w:val="Нижний колонтитул Знак"/>
    <w:basedOn w:val="919"/>
    <w:link w:val="938"/>
    <w:uiPriority w:val="99"/>
  </w:style>
  <w:style w:type="paragraph" w:styleId="940" w:customStyle="1">
    <w:name w:val="Обычный2"/>
    <w:pPr>
      <w:ind w:firstLine="400"/>
      <w:jc w:val="both"/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</w:rPr>
  </w:style>
  <w:style w:type="paragraph" w:styleId="941">
    <w:name w:val="Balloon Text"/>
    <w:basedOn w:val="913"/>
    <w:link w:val="94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42" w:customStyle="1">
    <w:name w:val="Текст выноски Знак"/>
    <w:basedOn w:val="919"/>
    <w:link w:val="941"/>
    <w:uiPriority w:val="99"/>
    <w:semiHidden/>
    <w:rPr>
      <w:rFonts w:ascii="Tahoma" w:hAnsi="Tahoma" w:cs="Tahoma"/>
      <w:sz w:val="16"/>
      <w:szCs w:val="16"/>
    </w:rPr>
  </w:style>
  <w:style w:type="paragraph" w:styleId="943">
    <w:name w:val="Body Text Indent 2"/>
    <w:basedOn w:val="913"/>
    <w:link w:val="944"/>
    <w:unhideWhenUsed/>
    <w:pPr>
      <w:ind w:left="283"/>
      <w:spacing w:after="120" w:line="480" w:lineRule="auto"/>
    </w:pPr>
  </w:style>
  <w:style w:type="character" w:styleId="944" w:customStyle="1">
    <w:name w:val="Основной текст с отступом 2 Знак"/>
    <w:basedOn w:val="919"/>
    <w:link w:val="943"/>
  </w:style>
  <w:style w:type="paragraph" w:styleId="945" w:customStyle="1">
    <w:name w:val="Times 12"/>
    <w:basedOn w:val="913"/>
    <w:pPr>
      <w:ind w:firstLine="567"/>
      <w:jc w:val="both"/>
      <w:spacing w:after="0" w:line="240" w:lineRule="auto"/>
    </w:pPr>
    <w:rPr>
      <w:rFonts w:ascii="Times New Roman" w:hAnsi="Times New Roman" w:eastAsia="Times New Roman" w:cs="Times New Roman"/>
      <w:bCs/>
      <w:sz w:val="24"/>
    </w:rPr>
  </w:style>
  <w:style w:type="character" w:styleId="946" w:customStyle="1">
    <w:name w:val="Абзац списка Знак"/>
    <w:link w:val="935"/>
    <w:uiPriority w:val="34"/>
    <w:qFormat/>
  </w:style>
  <w:style w:type="paragraph" w:styleId="947" w:customStyle="1">
    <w:name w:val="StGen0"/>
    <w:basedOn w:val="913"/>
    <w:next w:val="948"/>
    <w:qFormat/>
    <w:pPr>
      <w:jc w:val="center"/>
      <w:spacing w:after="0" w:line="240" w:lineRule="auto"/>
    </w:pPr>
    <w:rPr>
      <w:rFonts w:ascii="Times New Roman" w:hAnsi="Times New Roman" w:eastAsia="Times New Roman" w:cs="Times New Roman"/>
      <w:b/>
      <w:szCs w:val="20"/>
    </w:rPr>
  </w:style>
  <w:style w:type="paragraph" w:styleId="948">
    <w:name w:val="Title"/>
    <w:basedOn w:val="913"/>
    <w:next w:val="913"/>
    <w:link w:val="949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9" w:customStyle="1">
    <w:name w:val="Заголовок Знак"/>
    <w:basedOn w:val="919"/>
    <w:link w:val="948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0">
    <w:name w:val="Body Text 3"/>
    <w:basedOn w:val="913"/>
    <w:link w:val="951"/>
    <w:unhideWhenUsed/>
    <w:pPr>
      <w:spacing w:after="120"/>
    </w:pPr>
    <w:rPr>
      <w:rFonts w:eastAsiaTheme="minorHAnsi"/>
      <w:sz w:val="16"/>
      <w:szCs w:val="16"/>
      <w:lang w:eastAsia="en-US"/>
    </w:rPr>
  </w:style>
  <w:style w:type="character" w:styleId="951" w:customStyle="1">
    <w:name w:val="Основной текст 3 Знак"/>
    <w:basedOn w:val="919"/>
    <w:link w:val="950"/>
    <w:rPr>
      <w:rFonts w:eastAsiaTheme="minorHAnsi"/>
      <w:sz w:val="16"/>
      <w:szCs w:val="16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09CB3-66B3-45D6-8FA8-E1ED616F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Solomatina-TD</cp:lastModifiedBy>
  <cp:revision>26</cp:revision>
  <dcterms:created xsi:type="dcterms:W3CDTF">2024-12-06T06:36:00Z</dcterms:created>
  <dcterms:modified xsi:type="dcterms:W3CDTF">2025-12-12T10:53:44Z</dcterms:modified>
</cp:coreProperties>
</file>